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0149"/>
      </w:tblGrid>
      <w:tr w:rsidR="00856AB4" w:rsidRPr="004E3901" w:rsidTr="00905D07">
        <w:tc>
          <w:tcPr>
            <w:tcW w:w="9923" w:type="dxa"/>
          </w:tcPr>
          <w:tbl>
            <w:tblPr>
              <w:tblW w:w="9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06"/>
              <w:gridCol w:w="5317"/>
            </w:tblGrid>
            <w:tr w:rsidR="00856AB4" w:rsidRPr="006A5857" w:rsidTr="00145E80">
              <w:tc>
                <w:tcPr>
                  <w:tcW w:w="4606" w:type="dxa"/>
                </w:tcPr>
                <w:p w:rsidR="00856AB4" w:rsidRPr="006A5857" w:rsidRDefault="00626D3E" w:rsidP="00145E80">
                  <w:pPr>
                    <w:spacing w:after="0" w:line="240" w:lineRule="auto"/>
                    <w:rPr>
                      <w:b/>
                      <w:sz w:val="28"/>
                      <w:szCs w:val="28"/>
                    </w:rPr>
                  </w:pPr>
                  <w:r w:rsidRPr="00626D3E">
                    <w:rPr>
                      <w:b/>
                      <w:noProof/>
                      <w:sz w:val="28"/>
                      <w:szCs w:val="28"/>
                      <w:lang w:val="en-US"/>
                    </w:rPr>
                    <w:drawing>
                      <wp:inline distT="0" distB="0" distL="0" distR="0">
                        <wp:extent cx="2600325" cy="1057275"/>
                        <wp:effectExtent l="19050" t="0" r="9525" b="0"/>
                        <wp:docPr id="2" name="Picture 0" descr="EFA Logo New Blu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 Logo New Blu 300dpi.jpg"/>
                                <pic:cNvPicPr/>
                              </pic:nvPicPr>
                              <pic:blipFill>
                                <a:blip r:embed="rId8" cstate="print"/>
                                <a:stretch>
                                  <a:fillRect/>
                                </a:stretch>
                              </pic:blipFill>
                              <pic:spPr>
                                <a:xfrm>
                                  <a:off x="0" y="0"/>
                                  <a:ext cx="2596142" cy="1055574"/>
                                </a:xfrm>
                                <a:prstGeom prst="rect">
                                  <a:avLst/>
                                </a:prstGeom>
                              </pic:spPr>
                            </pic:pic>
                          </a:graphicData>
                        </a:graphic>
                      </wp:inline>
                    </w:drawing>
                  </w:r>
                </w:p>
              </w:tc>
              <w:tc>
                <w:tcPr>
                  <w:tcW w:w="5317" w:type="dxa"/>
                </w:tcPr>
                <w:p w:rsidR="00856AB4" w:rsidRPr="006A5857" w:rsidRDefault="00856AB4" w:rsidP="00145E80">
                  <w:pPr>
                    <w:jc w:val="right"/>
                    <w:rPr>
                      <w:b/>
                      <w:sz w:val="28"/>
                      <w:szCs w:val="28"/>
                    </w:rPr>
                  </w:pPr>
                  <w:r w:rsidRPr="006A5857">
                    <w:rPr>
                      <w:b/>
                      <w:noProof/>
                      <w:sz w:val="28"/>
                      <w:szCs w:val="28"/>
                      <w:lang w:val="en-US"/>
                    </w:rPr>
                    <w:drawing>
                      <wp:inline distT="0" distB="0" distL="0" distR="0">
                        <wp:extent cx="1393825" cy="791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825" cy="791845"/>
                                </a:xfrm>
                                <a:prstGeom prst="rect">
                                  <a:avLst/>
                                </a:prstGeom>
                                <a:noFill/>
                                <a:ln>
                                  <a:noFill/>
                                </a:ln>
                              </pic:spPr>
                            </pic:pic>
                          </a:graphicData>
                        </a:graphic>
                      </wp:inline>
                    </w:drawing>
                  </w:r>
                </w:p>
              </w:tc>
            </w:tr>
          </w:tbl>
          <w:p w:rsidR="00856AB4" w:rsidRDefault="00856AB4"/>
        </w:tc>
      </w:tr>
    </w:tbl>
    <w:p w:rsidR="008D4A94" w:rsidRPr="003B5F3D" w:rsidRDefault="00A31448" w:rsidP="00A31448">
      <w:pPr>
        <w:spacing w:after="0" w:line="240" w:lineRule="auto"/>
        <w:rPr>
          <w:b/>
          <w:sz w:val="28"/>
          <w:szCs w:val="28"/>
        </w:rPr>
      </w:pPr>
      <w:r w:rsidRPr="00A31448">
        <w:rPr>
          <w:b/>
          <w:sz w:val="28"/>
          <w:szCs w:val="28"/>
          <w:highlight w:val="yellow"/>
        </w:rPr>
        <w:t>[Insert your logo]</w:t>
      </w:r>
    </w:p>
    <w:p w:rsidR="008D4A94" w:rsidRPr="003B5F3D" w:rsidRDefault="008D4A94" w:rsidP="004B389A">
      <w:pPr>
        <w:spacing w:after="0" w:line="240" w:lineRule="auto"/>
        <w:jc w:val="right"/>
        <w:rPr>
          <w:b/>
          <w:sz w:val="28"/>
          <w:szCs w:val="28"/>
        </w:rPr>
      </w:pPr>
    </w:p>
    <w:p w:rsidR="008D4A94" w:rsidRPr="003B5F3D" w:rsidRDefault="008D4A94" w:rsidP="004B389A">
      <w:pPr>
        <w:spacing w:after="0" w:line="240" w:lineRule="auto"/>
        <w:jc w:val="center"/>
        <w:rPr>
          <w:b/>
          <w:sz w:val="28"/>
          <w:szCs w:val="28"/>
        </w:rPr>
      </w:pPr>
    </w:p>
    <w:p w:rsidR="006A57F0" w:rsidRDefault="008D4A94" w:rsidP="006A57F0">
      <w:pPr>
        <w:spacing w:after="0" w:line="240" w:lineRule="auto"/>
        <w:jc w:val="center"/>
        <w:rPr>
          <w:b/>
          <w:sz w:val="26"/>
          <w:szCs w:val="26"/>
        </w:rPr>
      </w:pPr>
      <w:r>
        <w:rPr>
          <w:b/>
          <w:sz w:val="26"/>
          <w:szCs w:val="26"/>
        </w:rPr>
        <w:t>Directive 2010/8</w:t>
      </w:r>
      <w:r w:rsidRPr="004B389A">
        <w:rPr>
          <w:b/>
          <w:sz w:val="26"/>
          <w:szCs w:val="26"/>
        </w:rPr>
        <w:t xml:space="preserve">4/EU </w:t>
      </w:r>
      <w:r w:rsidR="006A57F0">
        <w:rPr>
          <w:b/>
          <w:sz w:val="26"/>
          <w:szCs w:val="26"/>
        </w:rPr>
        <w:t xml:space="preserve">and </w:t>
      </w:r>
      <w:r w:rsidR="006A57F0" w:rsidRPr="006A57F0">
        <w:rPr>
          <w:b/>
          <w:sz w:val="26"/>
          <w:szCs w:val="26"/>
        </w:rPr>
        <w:t>REGULATION (EU) No 1235/2010</w:t>
      </w:r>
    </w:p>
    <w:p w:rsidR="008D4A94" w:rsidRPr="004B389A" w:rsidRDefault="006A57F0" w:rsidP="00AA1E93">
      <w:pPr>
        <w:spacing w:after="240" w:line="240" w:lineRule="auto"/>
        <w:jc w:val="center"/>
        <w:rPr>
          <w:b/>
          <w:sz w:val="26"/>
          <w:szCs w:val="26"/>
        </w:rPr>
      </w:pPr>
      <w:r>
        <w:rPr>
          <w:b/>
          <w:sz w:val="26"/>
          <w:szCs w:val="26"/>
        </w:rPr>
        <w:t xml:space="preserve">Amending the EU </w:t>
      </w:r>
      <w:r w:rsidR="008D4A94">
        <w:rPr>
          <w:b/>
          <w:sz w:val="26"/>
          <w:szCs w:val="26"/>
        </w:rPr>
        <w:t>Pharmacovigilance</w:t>
      </w:r>
      <w:r>
        <w:rPr>
          <w:b/>
          <w:sz w:val="26"/>
          <w:szCs w:val="26"/>
        </w:rPr>
        <w:t xml:space="preserve"> legislation</w:t>
      </w:r>
    </w:p>
    <w:p w:rsidR="008D4A94" w:rsidRPr="004B389A" w:rsidRDefault="00856AB4" w:rsidP="004B389A">
      <w:pPr>
        <w:spacing w:after="0" w:line="240" w:lineRule="auto"/>
        <w:jc w:val="center"/>
        <w:rPr>
          <w:b/>
          <w:sz w:val="30"/>
          <w:szCs w:val="30"/>
        </w:rPr>
      </w:pPr>
      <w:r w:rsidRPr="00856AB4">
        <w:rPr>
          <w:b/>
          <w:sz w:val="30"/>
          <w:szCs w:val="30"/>
        </w:rPr>
        <w:t>EPF</w:t>
      </w:r>
      <w:r>
        <w:rPr>
          <w:b/>
          <w:sz w:val="30"/>
          <w:szCs w:val="30"/>
        </w:rPr>
        <w:t xml:space="preserve"> and</w:t>
      </w:r>
      <w:r w:rsidR="00626D3E">
        <w:rPr>
          <w:b/>
          <w:sz w:val="30"/>
          <w:szCs w:val="30"/>
        </w:rPr>
        <w:t xml:space="preserve"> EFA </w:t>
      </w:r>
      <w:r w:rsidR="008D4A94" w:rsidRPr="004B389A">
        <w:rPr>
          <w:b/>
          <w:sz w:val="30"/>
          <w:szCs w:val="30"/>
        </w:rPr>
        <w:t>Recommendations</w:t>
      </w:r>
    </w:p>
    <w:p w:rsidR="008D4A94" w:rsidRPr="004B389A" w:rsidRDefault="008D4A94" w:rsidP="00E5098F">
      <w:pPr>
        <w:spacing w:line="240" w:lineRule="auto"/>
        <w:jc w:val="center"/>
        <w:rPr>
          <w:b/>
          <w:sz w:val="30"/>
          <w:szCs w:val="30"/>
        </w:rPr>
      </w:pPr>
      <w:r w:rsidRPr="004B389A">
        <w:rPr>
          <w:b/>
          <w:sz w:val="30"/>
          <w:szCs w:val="30"/>
        </w:rPr>
        <w:t>for a patient-centred implementation</w:t>
      </w:r>
    </w:p>
    <w:p w:rsidR="008D4A94" w:rsidRPr="003B5F3D" w:rsidRDefault="008D4A94" w:rsidP="006E4FCF">
      <w:pPr>
        <w:pBdr>
          <w:bottom w:val="single" w:sz="4" w:space="1" w:color="auto"/>
        </w:pBdr>
        <w:spacing w:line="240" w:lineRule="auto"/>
        <w:jc w:val="both"/>
        <w:rPr>
          <w:sz w:val="24"/>
          <w:szCs w:val="24"/>
        </w:rPr>
      </w:pPr>
    </w:p>
    <w:p w:rsidR="008D4A94" w:rsidRPr="004B389A" w:rsidRDefault="008D4A94" w:rsidP="004B389A">
      <w:pPr>
        <w:pBdr>
          <w:bottom w:val="single" w:sz="4" w:space="1" w:color="auto"/>
        </w:pBdr>
        <w:spacing w:after="120" w:line="240" w:lineRule="auto"/>
        <w:jc w:val="both"/>
        <w:rPr>
          <w:b/>
          <w:sz w:val="24"/>
          <w:szCs w:val="24"/>
        </w:rPr>
      </w:pPr>
      <w:r w:rsidRPr="004B389A">
        <w:rPr>
          <w:b/>
          <w:sz w:val="24"/>
          <w:szCs w:val="24"/>
        </w:rPr>
        <w:t>Introduction</w:t>
      </w:r>
    </w:p>
    <w:p w:rsidR="008D4A94" w:rsidRPr="0010787B" w:rsidRDefault="008D4A94" w:rsidP="0010787B">
      <w:pPr>
        <w:pBdr>
          <w:bottom w:val="single" w:sz="4" w:space="1" w:color="auto"/>
        </w:pBdr>
        <w:spacing w:line="240" w:lineRule="auto"/>
        <w:jc w:val="both"/>
        <w:rPr>
          <w:sz w:val="24"/>
          <w:szCs w:val="24"/>
        </w:rPr>
      </w:pPr>
      <w:r w:rsidRPr="0010787B">
        <w:rPr>
          <w:sz w:val="24"/>
          <w:szCs w:val="24"/>
        </w:rPr>
        <w:t xml:space="preserve">These recommendations have been developed by the European Patients’ Forum and its member organisations representing the interests of patients with chronic diseases throughout the European Union. They aim to provide the authorities and bodies in EU Member States tasked with the transposition and implementation of Directive 2010/84/EU with a set of recommendations to ensure that this Directive, as intended, </w:t>
      </w:r>
      <w:r w:rsidR="00AA1E93">
        <w:rPr>
          <w:sz w:val="24"/>
          <w:szCs w:val="24"/>
        </w:rPr>
        <w:t xml:space="preserve">will </w:t>
      </w:r>
      <w:r w:rsidRPr="0010787B">
        <w:rPr>
          <w:sz w:val="24"/>
          <w:szCs w:val="24"/>
        </w:rPr>
        <w:t xml:space="preserve">lead </w:t>
      </w:r>
      <w:r w:rsidR="00EA07B3" w:rsidRPr="0010787B">
        <w:rPr>
          <w:sz w:val="24"/>
          <w:szCs w:val="24"/>
        </w:rPr>
        <w:t>to a</w:t>
      </w:r>
      <w:r w:rsidRPr="0010787B">
        <w:rPr>
          <w:sz w:val="24"/>
          <w:szCs w:val="24"/>
          <w:lang w:eastAsia="en-GB"/>
        </w:rPr>
        <w:t xml:space="preserve"> strong</w:t>
      </w:r>
      <w:r w:rsidR="00A73F0F">
        <w:rPr>
          <w:sz w:val="24"/>
          <w:szCs w:val="24"/>
          <w:lang w:eastAsia="en-GB"/>
        </w:rPr>
        <w:t>, open and transparent</w:t>
      </w:r>
      <w:r w:rsidRPr="0010787B">
        <w:rPr>
          <w:sz w:val="24"/>
          <w:szCs w:val="24"/>
          <w:lang w:eastAsia="en-GB"/>
        </w:rPr>
        <w:t xml:space="preserve"> pharmacovigilance system that ensure</w:t>
      </w:r>
      <w:r w:rsidR="00AA1E93">
        <w:rPr>
          <w:sz w:val="24"/>
          <w:szCs w:val="24"/>
          <w:lang w:eastAsia="en-GB"/>
        </w:rPr>
        <w:t>s</w:t>
      </w:r>
      <w:r w:rsidRPr="0010787B">
        <w:rPr>
          <w:sz w:val="24"/>
          <w:szCs w:val="24"/>
          <w:lang w:eastAsia="en-GB"/>
        </w:rPr>
        <w:t xml:space="preserve"> the confidence of patients, health professionals and regulators alike</w:t>
      </w:r>
      <w:r w:rsidRPr="0010787B">
        <w:rPr>
          <w:sz w:val="24"/>
          <w:szCs w:val="24"/>
        </w:rPr>
        <w:t xml:space="preserve"> and represents a step forward for safety, high quality, and patient</w:t>
      </w:r>
      <w:r w:rsidR="00AA1E93">
        <w:rPr>
          <w:sz w:val="24"/>
          <w:szCs w:val="24"/>
        </w:rPr>
        <w:t>-</w:t>
      </w:r>
      <w:r w:rsidRPr="0010787B">
        <w:rPr>
          <w:sz w:val="24"/>
          <w:szCs w:val="24"/>
        </w:rPr>
        <w:t>centred healthcare.</w:t>
      </w:r>
    </w:p>
    <w:p w:rsidR="008D4A94" w:rsidRDefault="008D4A94" w:rsidP="0002301F">
      <w:pPr>
        <w:pStyle w:val="Default"/>
        <w:pBdr>
          <w:bottom w:val="single" w:sz="4" w:space="1" w:color="auto"/>
        </w:pBdr>
        <w:jc w:val="both"/>
      </w:pPr>
      <w:r w:rsidRPr="0010787B">
        <w:t xml:space="preserve">Patients and their organisations have a wealth of expertise and experience that can contribute to higher patient safety, and quality of medicines in </w:t>
      </w:r>
      <w:smartTag w:uri="urn:schemas-microsoft-com:office:smarttags" w:element="place">
        <w:r w:rsidRPr="0010787B">
          <w:t>Europe</w:t>
        </w:r>
      </w:smartTag>
      <w:r w:rsidRPr="0010787B">
        <w:t xml:space="preserve">. They are committed to sharing this expertise and contribute both at national and European levels to the successful </w:t>
      </w:r>
      <w:r>
        <w:t>implementation of the Directive. The pharmacovigilance framework encourages patient involvement</w:t>
      </w:r>
      <w:r w:rsidR="00A73F0F">
        <w:t xml:space="preserve"> at national and European level</w:t>
      </w:r>
      <w:r>
        <w:t xml:space="preserve">. This document therefore </w:t>
      </w:r>
      <w:r w:rsidRPr="0010787B">
        <w:t xml:space="preserve">highlights areas where patient organisations can provide valuable input and support to the national authorities. </w:t>
      </w:r>
    </w:p>
    <w:p w:rsidR="00E13936" w:rsidRPr="0010787B" w:rsidRDefault="00E13936" w:rsidP="00626D3E">
      <w:pPr>
        <w:pStyle w:val="Default"/>
        <w:pBdr>
          <w:bottom w:val="single" w:sz="4" w:space="1" w:color="auto"/>
        </w:pBdr>
        <w:jc w:val="both"/>
        <w:rPr>
          <w:lang w:eastAsia="en-GB"/>
        </w:rPr>
      </w:pPr>
    </w:p>
    <w:p w:rsidR="008D4A94" w:rsidRDefault="008D4A94" w:rsidP="00626D3E">
      <w:pPr>
        <w:spacing w:line="240" w:lineRule="auto"/>
        <w:jc w:val="both"/>
        <w:rPr>
          <w:i/>
          <w:sz w:val="24"/>
          <w:szCs w:val="24"/>
        </w:rPr>
      </w:pPr>
      <w:r>
        <w:rPr>
          <w:i/>
          <w:sz w:val="24"/>
          <w:szCs w:val="24"/>
        </w:rPr>
        <w:t xml:space="preserve">Note: </w:t>
      </w:r>
      <w:r w:rsidRPr="00402186">
        <w:rPr>
          <w:i/>
          <w:sz w:val="24"/>
          <w:szCs w:val="24"/>
        </w:rPr>
        <w:t>The</w:t>
      </w:r>
      <w:r>
        <w:rPr>
          <w:i/>
          <w:sz w:val="24"/>
          <w:szCs w:val="24"/>
        </w:rPr>
        <w:t xml:space="preserve"> D</w:t>
      </w:r>
      <w:r w:rsidRPr="00402186">
        <w:rPr>
          <w:i/>
          <w:sz w:val="24"/>
          <w:szCs w:val="24"/>
        </w:rPr>
        <w:t>irective</w:t>
      </w:r>
      <w:r>
        <w:rPr>
          <w:i/>
          <w:sz w:val="24"/>
          <w:szCs w:val="24"/>
        </w:rPr>
        <w:t xml:space="preserve"> 2010/84/EU </w:t>
      </w:r>
      <w:r w:rsidRPr="00402186">
        <w:rPr>
          <w:i/>
          <w:sz w:val="24"/>
          <w:szCs w:val="24"/>
        </w:rPr>
        <w:t>amends Directive 2001/83/EC on the Community code relating to me</w:t>
      </w:r>
      <w:r>
        <w:rPr>
          <w:i/>
          <w:sz w:val="24"/>
          <w:szCs w:val="24"/>
        </w:rPr>
        <w:t>dicinal products for human use</w:t>
      </w:r>
      <w:r w:rsidR="00AA1E93">
        <w:rPr>
          <w:i/>
          <w:sz w:val="24"/>
          <w:szCs w:val="24"/>
        </w:rPr>
        <w:t>.</w:t>
      </w:r>
      <w:r w:rsidR="00626D3E">
        <w:rPr>
          <w:i/>
          <w:sz w:val="24"/>
          <w:szCs w:val="24"/>
        </w:rPr>
        <w:t xml:space="preserve"> </w:t>
      </w:r>
      <w:r w:rsidR="00AA1E93">
        <w:rPr>
          <w:i/>
          <w:sz w:val="24"/>
          <w:szCs w:val="24"/>
        </w:rPr>
        <w:t>T</w:t>
      </w:r>
      <w:r>
        <w:rPr>
          <w:i/>
          <w:sz w:val="24"/>
          <w:szCs w:val="24"/>
        </w:rPr>
        <w:t>he text below refers to the articles as numbered in the amended community code</w:t>
      </w:r>
    </w:p>
    <w:p w:rsidR="008D4A94" w:rsidRDefault="008D4A94" w:rsidP="00A029D6">
      <w:pPr>
        <w:rPr>
          <w:i/>
          <w:sz w:val="24"/>
          <w:szCs w:val="24"/>
        </w:rPr>
      </w:pPr>
    </w:p>
    <w:p w:rsidR="008D4A94" w:rsidRDefault="008D4A94" w:rsidP="00A029D6">
      <w:pPr>
        <w:rPr>
          <w:i/>
          <w:sz w:val="24"/>
          <w:szCs w:val="24"/>
        </w:rPr>
      </w:pPr>
    </w:p>
    <w:p w:rsidR="008D4A94" w:rsidRDefault="008D4A94" w:rsidP="00A029D6">
      <w:pPr>
        <w:rPr>
          <w:i/>
          <w:sz w:val="24"/>
          <w:szCs w:val="24"/>
        </w:rPr>
      </w:pPr>
    </w:p>
    <w:p w:rsidR="008D4A94" w:rsidRDefault="008D4A94" w:rsidP="00A029D6">
      <w:pPr>
        <w:rPr>
          <w:i/>
          <w:sz w:val="24"/>
          <w:szCs w:val="24"/>
        </w:rPr>
      </w:pPr>
    </w:p>
    <w:p w:rsidR="008D4A94" w:rsidRDefault="008D4A94" w:rsidP="00A029D6">
      <w:pPr>
        <w:rPr>
          <w:i/>
          <w:sz w:val="24"/>
          <w:szCs w:val="24"/>
        </w:rPr>
      </w:pPr>
    </w:p>
    <w:p w:rsidR="008D4A94" w:rsidRPr="00541906" w:rsidRDefault="008D4A94" w:rsidP="00541906">
      <w:pPr>
        <w:pBdr>
          <w:bottom w:val="single" w:sz="4" w:space="1" w:color="auto"/>
        </w:pBdr>
        <w:jc w:val="center"/>
        <w:rPr>
          <w:b/>
          <w:sz w:val="24"/>
          <w:szCs w:val="24"/>
        </w:rPr>
      </w:pPr>
      <w:r w:rsidRPr="00541906">
        <w:rPr>
          <w:b/>
          <w:sz w:val="24"/>
          <w:szCs w:val="24"/>
        </w:rPr>
        <w:lastRenderedPageBreak/>
        <w:t>Adverse Drug Reaction definition</w:t>
      </w:r>
    </w:p>
    <w:p w:rsidR="008D4A94" w:rsidRDefault="008D4A94" w:rsidP="00AA1E93">
      <w:pPr>
        <w:spacing w:after="0" w:line="240" w:lineRule="auto"/>
        <w:jc w:val="both"/>
        <w:rPr>
          <w:sz w:val="24"/>
          <w:szCs w:val="24"/>
        </w:rPr>
      </w:pPr>
      <w:r w:rsidRPr="00AA1E93">
        <w:rPr>
          <w:sz w:val="24"/>
          <w:szCs w:val="24"/>
        </w:rPr>
        <w:t>The Directive amends the definition of Adverse Drug Reaction included in the community code</w:t>
      </w:r>
      <w:r w:rsidR="00AA1E93">
        <w:rPr>
          <w:i/>
          <w:sz w:val="24"/>
          <w:szCs w:val="24"/>
        </w:rPr>
        <w:t xml:space="preserve"> [A</w:t>
      </w:r>
      <w:r>
        <w:rPr>
          <w:i/>
          <w:sz w:val="24"/>
          <w:szCs w:val="24"/>
        </w:rPr>
        <w:t>rticle 1(a).11</w:t>
      </w:r>
      <w:r w:rsidR="00AA1E93">
        <w:rPr>
          <w:i/>
          <w:sz w:val="24"/>
          <w:szCs w:val="24"/>
        </w:rPr>
        <w:t>]</w:t>
      </w:r>
      <w:r>
        <w:rPr>
          <w:i/>
          <w:sz w:val="24"/>
          <w:szCs w:val="24"/>
        </w:rPr>
        <w:t>.</w:t>
      </w:r>
      <w:r w:rsidR="00626D3E">
        <w:rPr>
          <w:i/>
          <w:sz w:val="24"/>
          <w:szCs w:val="24"/>
        </w:rPr>
        <w:t xml:space="preserve"> </w:t>
      </w:r>
      <w:r>
        <w:rPr>
          <w:sz w:val="24"/>
          <w:szCs w:val="24"/>
        </w:rPr>
        <w:t xml:space="preserve">The inclusion of mis-use and medication errors is an important aspect that is now addressed in the new rules. This is </w:t>
      </w:r>
      <w:r w:rsidR="00AA1E93">
        <w:rPr>
          <w:sz w:val="24"/>
          <w:szCs w:val="24"/>
        </w:rPr>
        <w:t xml:space="preserve">a step towards better patient safety and protection of public health, </w:t>
      </w:r>
      <w:r>
        <w:rPr>
          <w:sz w:val="24"/>
          <w:szCs w:val="24"/>
        </w:rPr>
        <w:t xml:space="preserve">as </w:t>
      </w:r>
      <w:r w:rsidR="00AA1E93">
        <w:rPr>
          <w:sz w:val="24"/>
          <w:szCs w:val="24"/>
        </w:rPr>
        <w:t xml:space="preserve">it will </w:t>
      </w:r>
      <w:r>
        <w:rPr>
          <w:sz w:val="24"/>
          <w:szCs w:val="24"/>
        </w:rPr>
        <w:t>lead to the collection of more information on the real</w:t>
      </w:r>
      <w:r w:rsidR="00AA1E93">
        <w:rPr>
          <w:sz w:val="24"/>
          <w:szCs w:val="24"/>
        </w:rPr>
        <w:t>-</w:t>
      </w:r>
      <w:r>
        <w:rPr>
          <w:sz w:val="24"/>
          <w:szCs w:val="24"/>
        </w:rPr>
        <w:t>life working of medicines when they are used in different circumstances by different people.</w:t>
      </w:r>
    </w:p>
    <w:p w:rsidR="00AA1E93" w:rsidRPr="00A029D6" w:rsidRDefault="00DB550C" w:rsidP="00AA1E93">
      <w:pPr>
        <w:jc w:val="center"/>
        <w:rPr>
          <w:i/>
          <w:sz w:val="24"/>
          <w:szCs w:val="24"/>
        </w:rPr>
      </w:pPr>
      <w:r w:rsidRPr="00DB550C">
        <w:rPr>
          <w:noProof/>
          <w:lang w:val="en-IE" w:eastAsia="en-IE"/>
        </w:rPr>
        <w:pict>
          <v:rect id="_x0000_s1026" style="position:absolute;left:0;text-align:left;margin-left:-3.35pt;margin-top:23.15pt;width:463.5pt;height:90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" fillcolor="#0070c0" stroked="f" strokeweight="2pt">
            <v:fill opacity="6682f"/>
            <v:path arrowok="t"/>
          </v:rect>
        </w:pict>
      </w:r>
    </w:p>
    <w:p w:rsidR="008D4A94" w:rsidRPr="00266C81" w:rsidRDefault="008D4A94" w:rsidP="006B3EC2">
      <w:pPr>
        <w:spacing w:after="80" w:line="240" w:lineRule="auto"/>
        <w:jc w:val="center"/>
        <w:rPr>
          <w:b/>
          <w:sz w:val="24"/>
          <w:szCs w:val="24"/>
        </w:rPr>
      </w:pPr>
      <w:r w:rsidRPr="00A029D6">
        <w:rPr>
          <w:b/>
          <w:sz w:val="24"/>
          <w:szCs w:val="24"/>
        </w:rPr>
        <w:t>Recommendation</w:t>
      </w:r>
    </w:p>
    <w:p w:rsidR="008D4A94" w:rsidRDefault="008D4A94" w:rsidP="00F919D3">
      <w:pPr>
        <w:numPr>
          <w:ilvl w:val="0"/>
          <w:numId w:val="25"/>
        </w:numPr>
        <w:spacing w:line="240" w:lineRule="auto"/>
        <w:ind w:left="426"/>
        <w:jc w:val="both"/>
        <w:rPr>
          <w:sz w:val="24"/>
          <w:szCs w:val="24"/>
        </w:rPr>
      </w:pPr>
      <w:r w:rsidRPr="00A029D6">
        <w:rPr>
          <w:sz w:val="24"/>
          <w:szCs w:val="24"/>
        </w:rPr>
        <w:t>W</w:t>
      </w:r>
      <w:r>
        <w:rPr>
          <w:sz w:val="24"/>
          <w:szCs w:val="24"/>
        </w:rPr>
        <w:t xml:space="preserve">e recommend that Member States indicate </w:t>
      </w:r>
      <w:r w:rsidRPr="00A029D6">
        <w:rPr>
          <w:sz w:val="24"/>
          <w:szCs w:val="24"/>
        </w:rPr>
        <w:t xml:space="preserve">clearly through the national </w:t>
      </w:r>
      <w:r w:rsidR="00AA1E93">
        <w:rPr>
          <w:sz w:val="24"/>
          <w:szCs w:val="24"/>
        </w:rPr>
        <w:t xml:space="preserve">medicines </w:t>
      </w:r>
      <w:r w:rsidRPr="00A029D6">
        <w:rPr>
          <w:sz w:val="24"/>
          <w:szCs w:val="24"/>
        </w:rPr>
        <w:t>web</w:t>
      </w:r>
      <w:r w:rsidR="00AA1E93">
        <w:rPr>
          <w:sz w:val="24"/>
          <w:szCs w:val="24"/>
        </w:rPr>
        <w:t>-</w:t>
      </w:r>
      <w:r w:rsidRPr="00A029D6">
        <w:rPr>
          <w:sz w:val="24"/>
          <w:szCs w:val="24"/>
        </w:rPr>
        <w:t>portal</w:t>
      </w:r>
      <w:r w:rsidR="00AA1E93">
        <w:rPr>
          <w:sz w:val="24"/>
          <w:szCs w:val="24"/>
        </w:rPr>
        <w:t>s</w:t>
      </w:r>
      <w:r w:rsidRPr="00A029D6">
        <w:rPr>
          <w:sz w:val="24"/>
          <w:szCs w:val="24"/>
        </w:rPr>
        <w:t xml:space="preserve"> and other means that adverse reaction reporting also encompasses medication errors and misuses, and all types of adverse reactions, not only severe or serious</w:t>
      </w:r>
      <w:r w:rsidR="00AA1E93">
        <w:rPr>
          <w:sz w:val="24"/>
          <w:szCs w:val="24"/>
        </w:rPr>
        <w:t>, should be reported</w:t>
      </w:r>
      <w:r w:rsidRPr="00A029D6">
        <w:rPr>
          <w:sz w:val="24"/>
          <w:szCs w:val="24"/>
        </w:rPr>
        <w:t>.</w:t>
      </w:r>
    </w:p>
    <w:p w:rsidR="00347BC9" w:rsidRDefault="00347BC9" w:rsidP="00266C81">
      <w:pPr>
        <w:pStyle w:val="Style1"/>
        <w:rPr>
          <w:rFonts w:cs="Calibri"/>
          <w:iCs/>
        </w:rPr>
      </w:pPr>
    </w:p>
    <w:p w:rsidR="008D4A94" w:rsidRPr="001F49B9" w:rsidRDefault="008D4A94" w:rsidP="00266C81">
      <w:pPr>
        <w:pStyle w:val="Style1"/>
      </w:pPr>
      <w:r>
        <w:rPr>
          <w:rFonts w:cs="Calibri"/>
          <w:iCs/>
        </w:rPr>
        <w:t xml:space="preserve">Article 11: </w:t>
      </w:r>
      <w:r w:rsidR="00AA1E93">
        <w:rPr>
          <w:rFonts w:cs="Calibri"/>
          <w:iCs/>
        </w:rPr>
        <w:t>Information on medicines packaging and leaflets</w:t>
      </w:r>
    </w:p>
    <w:p w:rsidR="00AA1E93" w:rsidRDefault="008D4A94" w:rsidP="00C810E1">
      <w:pPr>
        <w:pStyle w:val="Style1"/>
        <w:pBdr>
          <w:bottom w:val="none" w:sz="0" w:space="0" w:color="auto"/>
        </w:pBdr>
        <w:spacing w:after="160"/>
        <w:jc w:val="both"/>
        <w:rPr>
          <w:rFonts w:cs="Calibri"/>
          <w:b w:val="0"/>
          <w:color w:val="000000"/>
        </w:rPr>
      </w:pPr>
      <w:r w:rsidRPr="00AA1E93">
        <w:rPr>
          <w:rFonts w:cs="Calibri"/>
          <w:b w:val="0"/>
          <w:iCs/>
        </w:rPr>
        <w:t>Products which are subject to additional monitoring</w:t>
      </w:r>
      <w:r w:rsidR="00626D3E">
        <w:rPr>
          <w:rFonts w:cs="Calibri"/>
          <w:b w:val="0"/>
          <w:iCs/>
        </w:rPr>
        <w:t xml:space="preserve"> </w:t>
      </w:r>
      <w:r w:rsidRPr="00A73F0F">
        <w:rPr>
          <w:rFonts w:cs="Calibri"/>
          <w:b w:val="0"/>
        </w:rPr>
        <w:t>(e.g. products with new active substances, biological</w:t>
      </w:r>
      <w:r w:rsidR="00AA1E93">
        <w:rPr>
          <w:rFonts w:cs="Calibri"/>
          <w:b w:val="0"/>
        </w:rPr>
        <w:t>s</w:t>
      </w:r>
      <w:r w:rsidRPr="00A73F0F">
        <w:rPr>
          <w:rFonts w:cs="Calibri"/>
          <w:b w:val="0"/>
        </w:rPr>
        <w:t xml:space="preserve"> and other products if required under the terms of </w:t>
      </w:r>
      <w:r w:rsidR="00AA1E93">
        <w:rPr>
          <w:rFonts w:cs="Calibri"/>
          <w:b w:val="0"/>
        </w:rPr>
        <w:t xml:space="preserve">the </w:t>
      </w:r>
      <w:r w:rsidRPr="00A73F0F">
        <w:rPr>
          <w:rFonts w:cs="Calibri"/>
          <w:b w:val="0"/>
        </w:rPr>
        <w:t>marketing authorisation) will be identified by a black symbol and a standard explanatory sentence on the packaging</w:t>
      </w:r>
      <w:r w:rsidRPr="00A73F0F">
        <w:rPr>
          <w:rFonts w:cs="Calibri"/>
          <w:b w:val="0"/>
          <w:color w:val="000000"/>
        </w:rPr>
        <w:t xml:space="preserve">. </w:t>
      </w:r>
    </w:p>
    <w:p w:rsidR="008D4A94" w:rsidRDefault="008D4A94" w:rsidP="00C810E1">
      <w:pPr>
        <w:pStyle w:val="Style1"/>
        <w:pBdr>
          <w:bottom w:val="none" w:sz="0" w:space="0" w:color="auto"/>
        </w:pBdr>
        <w:spacing w:after="160"/>
        <w:jc w:val="both"/>
        <w:rPr>
          <w:rFonts w:cs="Calibri"/>
          <w:b w:val="0"/>
          <w:color w:val="000000"/>
        </w:rPr>
      </w:pPr>
      <w:r w:rsidRPr="00A73F0F">
        <w:rPr>
          <w:rFonts w:cs="Calibri"/>
          <w:b w:val="0"/>
          <w:color w:val="000000"/>
        </w:rPr>
        <w:t>While it is key to ensure that patients are not alarmed and do not stop their treatment unnecessarily, they should be aware that their medicine is under additional monitoring</w:t>
      </w:r>
      <w:r w:rsidR="00AA1E93">
        <w:rPr>
          <w:rFonts w:cs="Calibri"/>
          <w:b w:val="0"/>
          <w:color w:val="000000"/>
        </w:rPr>
        <w:t>, what such monitoring entails,</w:t>
      </w:r>
      <w:r w:rsidRPr="00A73F0F">
        <w:rPr>
          <w:rFonts w:cs="Calibri"/>
          <w:b w:val="0"/>
          <w:color w:val="000000"/>
        </w:rPr>
        <w:t xml:space="preserve"> and the reasons behind this. We believe this transparency is paramount to ensure patients’ trust in the functioning of the pharmacovigilance system.</w:t>
      </w:r>
    </w:p>
    <w:p w:rsidR="00E67013" w:rsidRDefault="00E67013" w:rsidP="00C810E1">
      <w:pPr>
        <w:spacing w:after="160" w:line="240" w:lineRule="auto"/>
        <w:jc w:val="both"/>
        <w:rPr>
          <w:rFonts w:ascii="Times New Roman" w:hAnsi="Times New Roman"/>
          <w:sz w:val="24"/>
          <w:szCs w:val="24"/>
          <w:lang w:eastAsia="en-GB"/>
        </w:rPr>
      </w:pPr>
      <w:r w:rsidRPr="00F919D3">
        <w:rPr>
          <w:sz w:val="24"/>
          <w:szCs w:val="24"/>
        </w:rPr>
        <w:t xml:space="preserve">Article 11 also specifies that Member States </w:t>
      </w:r>
      <w:r w:rsidRPr="00F919D3">
        <w:rPr>
          <w:i/>
          <w:sz w:val="24"/>
          <w:szCs w:val="24"/>
        </w:rPr>
        <w:t>should develop</w:t>
      </w:r>
      <w:r w:rsidR="00626D3E">
        <w:rPr>
          <w:i/>
          <w:sz w:val="24"/>
          <w:szCs w:val="24"/>
        </w:rPr>
        <w:t xml:space="preserve"> </w:t>
      </w:r>
      <w:r w:rsidRPr="00F919D3">
        <w:rPr>
          <w:i/>
          <w:sz w:val="24"/>
          <w:szCs w:val="24"/>
        </w:rPr>
        <w:t>a standard text expressly asking healthcare professionals to report any suspected adverse reaction</w:t>
      </w:r>
      <w:r w:rsidRPr="00F919D3">
        <w:rPr>
          <w:sz w:val="24"/>
          <w:szCs w:val="24"/>
        </w:rPr>
        <w:t>.</w:t>
      </w:r>
      <w:r w:rsidRPr="00F919D3">
        <w:rPr>
          <w:rFonts w:cs="Calibri"/>
          <w:sz w:val="24"/>
          <w:szCs w:val="24"/>
          <w:lang w:eastAsia="en-GB"/>
        </w:rPr>
        <w:t xml:space="preserve"> While we believe that the relationship of trust between the patient and health professional should remain central, patients often cite a perceived lack of interest, or lack of listening, by health professionals as the reasons for wanting to report directly. It is therefore important that a relationship of trust is established and patients are encouraged to turn to their health professional in the first instance concerning any suspected adverse reactions.</w:t>
      </w:r>
    </w:p>
    <w:p w:rsidR="00E67013" w:rsidRPr="002A5B9C" w:rsidRDefault="00E67013" w:rsidP="002A5B9C">
      <w:pPr>
        <w:pStyle w:val="Style1"/>
        <w:pBdr>
          <w:bottom w:val="none" w:sz="0" w:space="0" w:color="auto"/>
        </w:pBdr>
        <w:jc w:val="both"/>
        <w:rPr>
          <w:rFonts w:cs="Calibri"/>
          <w:b w:val="0"/>
          <w:color w:val="000000"/>
        </w:rPr>
      </w:pPr>
      <w:r w:rsidRPr="002A5B9C">
        <w:rPr>
          <w:rFonts w:cs="Calibri"/>
          <w:b w:val="0"/>
          <w:color w:val="000000"/>
        </w:rPr>
        <w:t xml:space="preserve">Patient organisations are strongly involved </w:t>
      </w:r>
      <w:r w:rsidR="002A5B9C">
        <w:rPr>
          <w:rFonts w:cs="Calibri"/>
          <w:b w:val="0"/>
          <w:color w:val="000000"/>
        </w:rPr>
        <w:t xml:space="preserve">in ongoing work </w:t>
      </w:r>
      <w:r w:rsidRPr="002A5B9C">
        <w:rPr>
          <w:rFonts w:cs="Calibri"/>
          <w:b w:val="0"/>
          <w:color w:val="000000"/>
        </w:rPr>
        <w:t xml:space="preserve">at European level </w:t>
      </w:r>
      <w:r w:rsidR="002A5B9C">
        <w:rPr>
          <w:rFonts w:cs="Calibri"/>
          <w:b w:val="0"/>
          <w:color w:val="000000"/>
        </w:rPr>
        <w:t xml:space="preserve">(through the European Medicines Agency) </w:t>
      </w:r>
      <w:r w:rsidRPr="002A5B9C">
        <w:rPr>
          <w:rFonts w:cs="Calibri"/>
          <w:b w:val="0"/>
          <w:color w:val="000000"/>
        </w:rPr>
        <w:t xml:space="preserve">in the review of </w:t>
      </w:r>
      <w:r w:rsidR="002A5B9C">
        <w:rPr>
          <w:rFonts w:cs="Calibri"/>
          <w:b w:val="0"/>
          <w:color w:val="000000"/>
        </w:rPr>
        <w:t xml:space="preserve">the </w:t>
      </w:r>
      <w:r w:rsidRPr="002A5B9C">
        <w:rPr>
          <w:rFonts w:cs="Calibri"/>
          <w:b w:val="0"/>
          <w:color w:val="000000"/>
        </w:rPr>
        <w:t xml:space="preserve">package leaflet </w:t>
      </w:r>
      <w:r w:rsidR="002A5B9C">
        <w:rPr>
          <w:rFonts w:cs="Calibri"/>
          <w:b w:val="0"/>
          <w:color w:val="000000"/>
        </w:rPr>
        <w:t xml:space="preserve">template </w:t>
      </w:r>
      <w:r w:rsidRPr="002A5B9C">
        <w:rPr>
          <w:rFonts w:cs="Calibri"/>
          <w:b w:val="0"/>
          <w:color w:val="000000"/>
        </w:rPr>
        <w:t xml:space="preserve">and summary of product characteristics, to ensure this information </w:t>
      </w:r>
      <w:r w:rsidR="002A5B9C">
        <w:rPr>
          <w:rFonts w:cs="Calibri"/>
          <w:b w:val="0"/>
          <w:color w:val="000000"/>
        </w:rPr>
        <w:t xml:space="preserve">is user-friendly and </w:t>
      </w:r>
      <w:r w:rsidRPr="002A5B9C">
        <w:rPr>
          <w:rFonts w:cs="Calibri"/>
          <w:b w:val="0"/>
          <w:color w:val="000000"/>
        </w:rPr>
        <w:t>accessible for patients and the public</w:t>
      </w:r>
      <w:r w:rsidR="002A5B9C">
        <w:rPr>
          <w:rFonts w:cs="Calibri"/>
          <w:b w:val="0"/>
          <w:color w:val="000000"/>
        </w:rPr>
        <w:t>,</w:t>
      </w:r>
      <w:r w:rsidRPr="002A5B9C">
        <w:rPr>
          <w:rFonts w:cs="Calibri"/>
          <w:b w:val="0"/>
          <w:color w:val="000000"/>
        </w:rPr>
        <w:t xml:space="preserve"> and corresponds more to their needs.</w:t>
      </w:r>
    </w:p>
    <w:p w:rsidR="00E67013" w:rsidRPr="00A73F0F" w:rsidRDefault="00DB550C" w:rsidP="00266C81">
      <w:pPr>
        <w:pStyle w:val="Style1"/>
        <w:pBdr>
          <w:bottom w:val="none" w:sz="0" w:space="0" w:color="auto"/>
        </w:pBdr>
        <w:jc w:val="both"/>
        <w:rPr>
          <w:rFonts w:cs="Calibri"/>
          <w:b w:val="0"/>
          <w:color w:val="000000"/>
        </w:rPr>
      </w:pPr>
      <w:r w:rsidRPr="00DB550C">
        <w:rPr>
          <w:b w:val="0"/>
          <w:noProof/>
          <w:lang w:val="en-IE" w:eastAsia="en-IE"/>
        </w:rPr>
        <w:pict>
          <v:rect id="Rectangle 2" o:spid="_x0000_s1033" style="position:absolute;left:0;text-align:left;margin-left:.35pt;margin-top:18.8pt;width:463.5pt;height:107.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" fillcolor="#0070c0" stroked="f" strokeweight="2pt">
            <v:fill opacity="6682f"/>
            <v:path arrowok="t"/>
          </v:rect>
        </w:pict>
      </w:r>
    </w:p>
    <w:p w:rsidR="008D4A94" w:rsidRDefault="008D4A94" w:rsidP="00A53824">
      <w:pPr>
        <w:pStyle w:val="Style1"/>
        <w:pBdr>
          <w:bottom w:val="none" w:sz="0" w:space="0" w:color="auto"/>
        </w:pBdr>
        <w:spacing w:after="80"/>
        <w:rPr>
          <w:rFonts w:cs="Calibri"/>
          <w:color w:val="000000"/>
        </w:rPr>
      </w:pPr>
      <w:r>
        <w:rPr>
          <w:rFonts w:cs="Calibri"/>
          <w:color w:val="000000"/>
        </w:rPr>
        <w:t>Recommendations</w:t>
      </w:r>
    </w:p>
    <w:p w:rsidR="008D4A94" w:rsidRPr="00F919D3" w:rsidRDefault="008D4A94" w:rsidP="0087209A">
      <w:pPr>
        <w:pStyle w:val="ListParagraph"/>
        <w:numPr>
          <w:ilvl w:val="0"/>
          <w:numId w:val="27"/>
        </w:numPr>
        <w:autoSpaceDE w:val="0"/>
        <w:autoSpaceDN w:val="0"/>
        <w:adjustRightInd w:val="0"/>
        <w:spacing w:after="160" w:line="240" w:lineRule="auto"/>
        <w:ind w:left="425" w:hanging="357"/>
        <w:contextualSpacing w:val="0"/>
        <w:jc w:val="both"/>
        <w:rPr>
          <w:rFonts w:cs="Calibri"/>
          <w:color w:val="000000"/>
          <w:sz w:val="24"/>
          <w:szCs w:val="24"/>
        </w:rPr>
      </w:pPr>
      <w:r w:rsidRPr="00F919D3">
        <w:rPr>
          <w:rFonts w:cs="Calibri"/>
          <w:color w:val="000000"/>
          <w:sz w:val="24"/>
          <w:szCs w:val="24"/>
        </w:rPr>
        <w:t xml:space="preserve">We recommend that Member States in </w:t>
      </w:r>
      <w:r w:rsidR="00AA1E93" w:rsidRPr="00F919D3">
        <w:rPr>
          <w:rFonts w:cs="Calibri"/>
          <w:color w:val="000000"/>
          <w:sz w:val="24"/>
          <w:szCs w:val="24"/>
        </w:rPr>
        <w:t xml:space="preserve">cooperation </w:t>
      </w:r>
      <w:r w:rsidRPr="00F919D3">
        <w:rPr>
          <w:rFonts w:cs="Calibri"/>
          <w:color w:val="000000"/>
          <w:sz w:val="24"/>
          <w:szCs w:val="24"/>
        </w:rPr>
        <w:t xml:space="preserve">with patient organisations design </w:t>
      </w:r>
      <w:r w:rsidR="00AA1E93" w:rsidRPr="00F919D3">
        <w:rPr>
          <w:rFonts w:cs="Calibri"/>
          <w:color w:val="000000"/>
          <w:sz w:val="24"/>
          <w:szCs w:val="24"/>
        </w:rPr>
        <w:t xml:space="preserve">the </w:t>
      </w:r>
      <w:r w:rsidRPr="00F919D3">
        <w:rPr>
          <w:rFonts w:cs="Calibri"/>
          <w:color w:val="000000"/>
          <w:sz w:val="24"/>
          <w:szCs w:val="24"/>
        </w:rPr>
        <w:t>appropriate measures and messages to inform patients and the public about the meaning of th</w:t>
      </w:r>
      <w:r w:rsidR="00AA1E93" w:rsidRPr="00F919D3">
        <w:rPr>
          <w:rFonts w:cs="Calibri"/>
          <w:color w:val="000000"/>
          <w:sz w:val="24"/>
          <w:szCs w:val="24"/>
        </w:rPr>
        <w:t>e</w:t>
      </w:r>
      <w:r w:rsidRPr="00F919D3">
        <w:rPr>
          <w:rFonts w:cs="Calibri"/>
          <w:color w:val="000000"/>
          <w:sz w:val="24"/>
          <w:szCs w:val="24"/>
        </w:rPr>
        <w:t xml:space="preserve"> black symbol, including through the national medicine</w:t>
      </w:r>
      <w:r w:rsidR="00AA1E93" w:rsidRPr="00F919D3">
        <w:rPr>
          <w:rFonts w:cs="Calibri"/>
          <w:color w:val="000000"/>
          <w:sz w:val="24"/>
          <w:szCs w:val="24"/>
        </w:rPr>
        <w:t>s</w:t>
      </w:r>
      <w:r w:rsidRPr="00F919D3">
        <w:rPr>
          <w:rFonts w:cs="Calibri"/>
          <w:color w:val="000000"/>
          <w:sz w:val="24"/>
          <w:szCs w:val="24"/>
        </w:rPr>
        <w:t xml:space="preserve"> web</w:t>
      </w:r>
      <w:r w:rsidR="00AA1E93" w:rsidRPr="00F919D3">
        <w:rPr>
          <w:rFonts w:cs="Calibri"/>
          <w:color w:val="000000"/>
          <w:sz w:val="24"/>
          <w:szCs w:val="24"/>
        </w:rPr>
        <w:t>-</w:t>
      </w:r>
      <w:r w:rsidRPr="00F919D3">
        <w:rPr>
          <w:rFonts w:cs="Calibri"/>
          <w:color w:val="000000"/>
          <w:sz w:val="24"/>
          <w:szCs w:val="24"/>
        </w:rPr>
        <w:t xml:space="preserve">portal, </w:t>
      </w:r>
      <w:r w:rsidR="00AA1E93" w:rsidRPr="00F919D3">
        <w:rPr>
          <w:rFonts w:cs="Calibri"/>
          <w:color w:val="000000"/>
          <w:sz w:val="24"/>
          <w:szCs w:val="24"/>
        </w:rPr>
        <w:t xml:space="preserve">to avoid </w:t>
      </w:r>
      <w:r w:rsidRPr="00F919D3">
        <w:rPr>
          <w:rFonts w:cs="Calibri"/>
          <w:color w:val="000000"/>
          <w:sz w:val="24"/>
          <w:szCs w:val="24"/>
        </w:rPr>
        <w:t xml:space="preserve">creating unnecessary alarm as regards the medicinal products subject to </w:t>
      </w:r>
      <w:r w:rsidR="00AA1E93" w:rsidRPr="00F919D3">
        <w:rPr>
          <w:rFonts w:cs="Calibri"/>
          <w:color w:val="000000"/>
          <w:sz w:val="24"/>
          <w:szCs w:val="24"/>
        </w:rPr>
        <w:t>additional monitoring</w:t>
      </w:r>
      <w:r w:rsidRPr="00F919D3">
        <w:rPr>
          <w:rFonts w:cs="Calibri"/>
          <w:color w:val="000000"/>
          <w:sz w:val="24"/>
          <w:szCs w:val="24"/>
        </w:rPr>
        <w:t>.</w:t>
      </w:r>
    </w:p>
    <w:p w:rsidR="008D4A94" w:rsidRDefault="00DB550C" w:rsidP="0087209A">
      <w:pPr>
        <w:pStyle w:val="ListParagraph"/>
        <w:numPr>
          <w:ilvl w:val="0"/>
          <w:numId w:val="27"/>
        </w:numPr>
        <w:autoSpaceDE w:val="0"/>
        <w:autoSpaceDN w:val="0"/>
        <w:adjustRightInd w:val="0"/>
        <w:spacing w:after="160" w:line="240" w:lineRule="auto"/>
        <w:ind w:left="425" w:hanging="357"/>
        <w:contextualSpacing w:val="0"/>
        <w:jc w:val="both"/>
        <w:rPr>
          <w:rFonts w:cs="Calibri"/>
          <w:color w:val="000000"/>
          <w:sz w:val="24"/>
          <w:szCs w:val="24"/>
        </w:rPr>
      </w:pPr>
      <w:r w:rsidRPr="00DB550C">
        <w:rPr>
          <w:rFonts w:cs="Calibri"/>
          <w:noProof/>
          <w:color w:val="000000"/>
          <w:sz w:val="24"/>
          <w:szCs w:val="24"/>
          <w:lang w:val="en-IE" w:eastAsia="en-IE"/>
        </w:rPr>
        <w:lastRenderedPageBreak/>
        <w:pict>
          <v:rect id="_x0000_s1032" style="position:absolute;left:0;text-align:left;margin-left:-5.2pt;margin-top:-9.3pt;width:463.5pt;height:163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" fillcolor="#0070c0" stroked="f" strokeweight="2pt">
            <v:fill opacity="6682f"/>
            <v:path arrowok="t"/>
          </v:rect>
        </w:pict>
      </w:r>
      <w:r w:rsidR="008D4A94" w:rsidRPr="00F919D3">
        <w:rPr>
          <w:rFonts w:cs="Calibri"/>
          <w:color w:val="000000"/>
          <w:sz w:val="24"/>
          <w:szCs w:val="24"/>
        </w:rPr>
        <w:t xml:space="preserve">We </w:t>
      </w:r>
      <w:r w:rsidR="00F919D3">
        <w:rPr>
          <w:rFonts w:cs="Calibri"/>
          <w:color w:val="000000"/>
          <w:sz w:val="24"/>
          <w:szCs w:val="24"/>
        </w:rPr>
        <w:t>recommend that</w:t>
      </w:r>
      <w:r w:rsidR="008D4A94" w:rsidRPr="00F919D3">
        <w:rPr>
          <w:rFonts w:cs="Calibri"/>
          <w:color w:val="000000"/>
          <w:sz w:val="24"/>
          <w:szCs w:val="24"/>
        </w:rPr>
        <w:t xml:space="preserve"> Member State</w:t>
      </w:r>
      <w:r w:rsidR="00F919D3">
        <w:rPr>
          <w:rFonts w:cs="Calibri"/>
          <w:color w:val="000000"/>
          <w:sz w:val="24"/>
          <w:szCs w:val="24"/>
        </w:rPr>
        <w:t>s</w:t>
      </w:r>
      <w:r w:rsidR="00626D3E">
        <w:rPr>
          <w:rFonts w:cs="Calibri"/>
          <w:color w:val="000000"/>
          <w:sz w:val="24"/>
          <w:szCs w:val="24"/>
        </w:rPr>
        <w:t xml:space="preserve"> </w:t>
      </w:r>
      <w:r w:rsidR="00F919D3">
        <w:rPr>
          <w:rFonts w:cs="Calibri"/>
          <w:color w:val="000000"/>
          <w:sz w:val="24"/>
          <w:szCs w:val="24"/>
        </w:rPr>
        <w:t xml:space="preserve">develop information </w:t>
      </w:r>
      <w:r w:rsidR="008D4A94" w:rsidRPr="00F919D3">
        <w:rPr>
          <w:rFonts w:cs="Calibri"/>
          <w:color w:val="000000"/>
          <w:sz w:val="24"/>
          <w:szCs w:val="24"/>
        </w:rPr>
        <w:t>encourag</w:t>
      </w:r>
      <w:r w:rsidR="00F919D3">
        <w:rPr>
          <w:rFonts w:cs="Calibri"/>
          <w:color w:val="000000"/>
          <w:sz w:val="24"/>
          <w:szCs w:val="24"/>
        </w:rPr>
        <w:t xml:space="preserve">ing </w:t>
      </w:r>
      <w:r w:rsidR="008D4A94" w:rsidRPr="00F919D3">
        <w:rPr>
          <w:rFonts w:cs="Calibri"/>
          <w:color w:val="000000"/>
          <w:sz w:val="24"/>
          <w:szCs w:val="24"/>
        </w:rPr>
        <w:t xml:space="preserve">patients to be vigilant and report any </w:t>
      </w:r>
      <w:r w:rsidR="00F919D3">
        <w:rPr>
          <w:rFonts w:cs="Calibri"/>
          <w:color w:val="000000"/>
          <w:sz w:val="24"/>
          <w:szCs w:val="24"/>
        </w:rPr>
        <w:t xml:space="preserve">suspected </w:t>
      </w:r>
      <w:r w:rsidR="008D4A94" w:rsidRPr="00F919D3">
        <w:rPr>
          <w:rFonts w:cs="Calibri"/>
          <w:color w:val="000000"/>
          <w:sz w:val="24"/>
          <w:szCs w:val="24"/>
        </w:rPr>
        <w:t>adverse drug reaction</w:t>
      </w:r>
      <w:r w:rsidR="00F919D3">
        <w:rPr>
          <w:rFonts w:cs="Calibri"/>
          <w:color w:val="000000"/>
          <w:sz w:val="24"/>
          <w:szCs w:val="24"/>
        </w:rPr>
        <w:t xml:space="preserve">s </w:t>
      </w:r>
      <w:r w:rsidR="008D4A94" w:rsidRPr="00F919D3">
        <w:rPr>
          <w:rFonts w:cs="Calibri"/>
          <w:color w:val="000000"/>
          <w:sz w:val="24"/>
          <w:szCs w:val="24"/>
        </w:rPr>
        <w:t>and indicat</w:t>
      </w:r>
      <w:r w:rsidR="00F919D3">
        <w:rPr>
          <w:rFonts w:cs="Calibri"/>
          <w:color w:val="000000"/>
          <w:sz w:val="24"/>
          <w:szCs w:val="24"/>
        </w:rPr>
        <w:t>ing</w:t>
      </w:r>
      <w:r w:rsidR="008D4A94" w:rsidRPr="00F919D3">
        <w:rPr>
          <w:rFonts w:cs="Calibri"/>
          <w:color w:val="000000"/>
          <w:sz w:val="24"/>
          <w:szCs w:val="24"/>
        </w:rPr>
        <w:t xml:space="preserve"> where they can get additional information</w:t>
      </w:r>
      <w:r w:rsidR="00F919D3">
        <w:rPr>
          <w:rFonts w:cs="Calibri"/>
          <w:color w:val="000000"/>
          <w:sz w:val="24"/>
          <w:szCs w:val="24"/>
        </w:rPr>
        <w:t>, in cooperation with patient organisations to ensure the information meets patients’ needs.</w:t>
      </w:r>
    </w:p>
    <w:p w:rsidR="00E67013" w:rsidRPr="00F919D3" w:rsidRDefault="00E67013" w:rsidP="00F919D3">
      <w:pPr>
        <w:pStyle w:val="ListParagraph"/>
        <w:numPr>
          <w:ilvl w:val="0"/>
          <w:numId w:val="27"/>
        </w:numPr>
        <w:autoSpaceDE w:val="0"/>
        <w:autoSpaceDN w:val="0"/>
        <w:adjustRightInd w:val="0"/>
        <w:spacing w:after="0" w:line="240" w:lineRule="auto"/>
        <w:ind w:left="426"/>
        <w:jc w:val="both"/>
        <w:rPr>
          <w:rFonts w:cs="Calibri"/>
          <w:color w:val="000000"/>
          <w:sz w:val="24"/>
          <w:szCs w:val="24"/>
        </w:rPr>
      </w:pPr>
      <w:r>
        <w:rPr>
          <w:rFonts w:cs="Calibri"/>
          <w:color w:val="000000"/>
          <w:sz w:val="24"/>
          <w:szCs w:val="24"/>
        </w:rPr>
        <w:t xml:space="preserve">We recommend that Member States involve both national patients’ and health professionals’ organisations in discussions on the importance of reporting adverse reactions, and to explore how the different stakeholders can work together to support the patient-health professional relationship – including patient empowerment and building health professionals’ listening and communication skills towards patients. </w:t>
      </w:r>
    </w:p>
    <w:p w:rsidR="008D4A94" w:rsidRDefault="008D4A94" w:rsidP="004B389A">
      <w:pPr>
        <w:spacing w:after="120" w:line="240" w:lineRule="auto"/>
        <w:jc w:val="both"/>
        <w:rPr>
          <w:rFonts w:cs="Calibri"/>
          <w:sz w:val="24"/>
          <w:szCs w:val="24"/>
        </w:rPr>
      </w:pPr>
    </w:p>
    <w:p w:rsidR="00E67013" w:rsidRDefault="00E67013" w:rsidP="004B389A">
      <w:pPr>
        <w:spacing w:after="120" w:line="240" w:lineRule="auto"/>
        <w:jc w:val="both"/>
        <w:rPr>
          <w:rFonts w:cs="Calibri"/>
          <w:sz w:val="24"/>
          <w:szCs w:val="24"/>
        </w:rPr>
      </w:pPr>
    </w:p>
    <w:p w:rsidR="008D4A94" w:rsidRPr="00410366" w:rsidRDefault="00E67013" w:rsidP="00410366">
      <w:pPr>
        <w:pStyle w:val="Style1"/>
      </w:pPr>
      <w:r>
        <w:t xml:space="preserve">Article 21: </w:t>
      </w:r>
      <w:r w:rsidR="008D4A94">
        <w:t>Information by National Competent Authorities</w:t>
      </w:r>
    </w:p>
    <w:p w:rsidR="008D4A94" w:rsidRDefault="008D4A94" w:rsidP="00C810E1">
      <w:pPr>
        <w:spacing w:after="160" w:line="240" w:lineRule="auto"/>
        <w:jc w:val="both"/>
        <w:rPr>
          <w:rFonts w:cs="Calibri"/>
          <w:sz w:val="24"/>
          <w:szCs w:val="24"/>
        </w:rPr>
      </w:pPr>
      <w:r>
        <w:rPr>
          <w:rFonts w:cs="Calibri"/>
          <w:sz w:val="24"/>
          <w:szCs w:val="24"/>
        </w:rPr>
        <w:t>Article</w:t>
      </w:r>
      <w:r w:rsidR="00A73F0F">
        <w:rPr>
          <w:rFonts w:cs="Calibri"/>
          <w:sz w:val="24"/>
          <w:szCs w:val="24"/>
        </w:rPr>
        <w:t xml:space="preserve"> 21</w:t>
      </w:r>
      <w:r>
        <w:rPr>
          <w:rFonts w:cs="Calibri"/>
          <w:sz w:val="24"/>
          <w:szCs w:val="24"/>
        </w:rPr>
        <w:t xml:space="preserve"> lists information that national competent authorities should make available to the public.</w:t>
      </w:r>
    </w:p>
    <w:p w:rsidR="00347BC9" w:rsidRDefault="008D4A94" w:rsidP="004B389A">
      <w:pPr>
        <w:spacing w:after="120" w:line="240" w:lineRule="auto"/>
        <w:jc w:val="both"/>
        <w:rPr>
          <w:sz w:val="24"/>
          <w:szCs w:val="24"/>
        </w:rPr>
      </w:pPr>
      <w:r>
        <w:rPr>
          <w:rFonts w:cs="Calibri"/>
          <w:sz w:val="24"/>
          <w:szCs w:val="24"/>
        </w:rPr>
        <w:t xml:space="preserve">This includes marketing authorisation, package leaflet, summary of product characteristics and information on eventual conditions to which the medicinal product is subjected </w:t>
      </w:r>
      <w:r w:rsidR="00E67013">
        <w:rPr>
          <w:rFonts w:cs="Calibri"/>
          <w:sz w:val="24"/>
          <w:szCs w:val="24"/>
        </w:rPr>
        <w:t xml:space="preserve">in order </w:t>
      </w:r>
      <w:r>
        <w:rPr>
          <w:rFonts w:cs="Calibri"/>
          <w:sz w:val="24"/>
          <w:szCs w:val="24"/>
        </w:rPr>
        <w:t>to be granted a marketing authorisation. It also includes the assessment report for the marketing authorisation, with the reason</w:t>
      </w:r>
      <w:r w:rsidR="002A5B9C">
        <w:rPr>
          <w:rFonts w:cs="Calibri"/>
          <w:sz w:val="24"/>
          <w:szCs w:val="24"/>
        </w:rPr>
        <w:t>s</w:t>
      </w:r>
      <w:r>
        <w:rPr>
          <w:rFonts w:cs="Calibri"/>
          <w:sz w:val="24"/>
          <w:szCs w:val="24"/>
        </w:rPr>
        <w:t xml:space="preserve"> for the opinion of the NCA</w:t>
      </w:r>
      <w:r w:rsidR="002A5B9C">
        <w:rPr>
          <w:rFonts w:cs="Calibri"/>
          <w:sz w:val="24"/>
          <w:szCs w:val="24"/>
        </w:rPr>
        <w:t xml:space="preserve">, as well as </w:t>
      </w:r>
      <w:r>
        <w:rPr>
          <w:rFonts w:cs="Calibri"/>
          <w:sz w:val="24"/>
          <w:szCs w:val="24"/>
        </w:rPr>
        <w:t>a summary that is understandable to the public, with a section relating to the conditions of use of the medicinal product.</w:t>
      </w:r>
    </w:p>
    <w:p w:rsidR="008D4A94" w:rsidRPr="00347BC9" w:rsidRDefault="00DB550C" w:rsidP="004B389A">
      <w:pPr>
        <w:spacing w:after="120" w:line="240" w:lineRule="auto"/>
        <w:jc w:val="both"/>
        <w:rPr>
          <w:sz w:val="24"/>
          <w:szCs w:val="24"/>
        </w:rPr>
      </w:pPr>
      <w:r w:rsidRPr="00DB550C">
        <w:rPr>
          <w:noProof/>
          <w:lang w:val="en-IE" w:eastAsia="en-IE"/>
        </w:rPr>
        <w:pict>
          <v:rect id="Rectangle 41" o:spid="_x0000_s1031" style="position:absolute;left:0;text-align:left;margin-left:-9pt;margin-top:17.9pt;width:473.5pt;height:90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" fillcolor="#0070c0" stroked="f" strokeweight="2pt">
            <v:fill opacity="6682f"/>
            <v:path arrowok="t"/>
          </v:rect>
        </w:pict>
      </w:r>
    </w:p>
    <w:p w:rsidR="008D4A94" w:rsidRPr="00541906" w:rsidRDefault="008D4A94" w:rsidP="00541906">
      <w:pPr>
        <w:spacing w:after="80" w:line="240" w:lineRule="auto"/>
        <w:jc w:val="center"/>
        <w:rPr>
          <w:rFonts w:cs="Calibri"/>
          <w:b/>
          <w:sz w:val="24"/>
          <w:szCs w:val="24"/>
        </w:rPr>
      </w:pPr>
      <w:r w:rsidRPr="00541906">
        <w:rPr>
          <w:rFonts w:cs="Calibri"/>
          <w:b/>
          <w:sz w:val="24"/>
          <w:szCs w:val="24"/>
        </w:rPr>
        <w:t>Recommendations</w:t>
      </w:r>
    </w:p>
    <w:p w:rsidR="008D4A94" w:rsidRPr="00541906" w:rsidRDefault="008D4A94" w:rsidP="00CC607B">
      <w:pPr>
        <w:pStyle w:val="ListParagraph"/>
        <w:numPr>
          <w:ilvl w:val="0"/>
          <w:numId w:val="28"/>
        </w:numPr>
        <w:autoSpaceDE w:val="0"/>
        <w:autoSpaceDN w:val="0"/>
        <w:adjustRightInd w:val="0"/>
        <w:spacing w:after="120" w:line="240" w:lineRule="auto"/>
        <w:ind w:left="426"/>
        <w:contextualSpacing w:val="0"/>
        <w:jc w:val="both"/>
        <w:rPr>
          <w:rFonts w:cs="Calibri"/>
          <w:sz w:val="24"/>
          <w:szCs w:val="24"/>
        </w:rPr>
      </w:pPr>
      <w:r w:rsidRPr="00CC607B">
        <w:rPr>
          <w:rFonts w:cs="Calibri"/>
          <w:color w:val="000000"/>
          <w:sz w:val="24"/>
          <w:szCs w:val="24"/>
        </w:rPr>
        <w:t xml:space="preserve">We </w:t>
      </w:r>
      <w:r w:rsidR="00CC607B">
        <w:rPr>
          <w:rFonts w:cs="Calibri"/>
          <w:color w:val="000000"/>
          <w:sz w:val="24"/>
          <w:szCs w:val="24"/>
        </w:rPr>
        <w:t xml:space="preserve">recommend that </w:t>
      </w:r>
      <w:r w:rsidRPr="00CC607B">
        <w:rPr>
          <w:rFonts w:cs="Calibri"/>
          <w:color w:val="000000"/>
          <w:sz w:val="24"/>
          <w:szCs w:val="24"/>
        </w:rPr>
        <w:t xml:space="preserve">Member States and </w:t>
      </w:r>
      <w:r w:rsidR="00CC607B">
        <w:rPr>
          <w:rFonts w:cs="Calibri"/>
          <w:color w:val="000000"/>
          <w:sz w:val="24"/>
          <w:szCs w:val="24"/>
        </w:rPr>
        <w:t xml:space="preserve">NCAs </w:t>
      </w:r>
      <w:r w:rsidRPr="00CC607B">
        <w:rPr>
          <w:rFonts w:cs="Calibri"/>
          <w:color w:val="000000"/>
          <w:sz w:val="24"/>
          <w:szCs w:val="24"/>
        </w:rPr>
        <w:t>involve patient organisations in the drafting and</w:t>
      </w:r>
      <w:r w:rsidR="00CC607B">
        <w:rPr>
          <w:rFonts w:cs="Calibri"/>
          <w:color w:val="000000"/>
          <w:sz w:val="24"/>
          <w:szCs w:val="24"/>
        </w:rPr>
        <w:t>/or</w:t>
      </w:r>
      <w:r w:rsidR="00626D3E">
        <w:rPr>
          <w:rFonts w:cs="Calibri"/>
          <w:color w:val="000000"/>
          <w:sz w:val="24"/>
          <w:szCs w:val="24"/>
        </w:rPr>
        <w:t xml:space="preserve"> </w:t>
      </w:r>
      <w:r w:rsidR="00CC607B">
        <w:rPr>
          <w:rFonts w:cs="Calibri"/>
          <w:color w:val="000000"/>
          <w:sz w:val="24"/>
          <w:szCs w:val="24"/>
        </w:rPr>
        <w:t xml:space="preserve">reviewing </w:t>
      </w:r>
      <w:r w:rsidRPr="00CC607B">
        <w:rPr>
          <w:rFonts w:cs="Calibri"/>
          <w:color w:val="000000"/>
          <w:sz w:val="24"/>
          <w:szCs w:val="24"/>
        </w:rPr>
        <w:t xml:space="preserve">of information </w:t>
      </w:r>
      <w:r w:rsidR="00CC607B">
        <w:rPr>
          <w:rFonts w:cs="Calibri"/>
          <w:color w:val="000000"/>
          <w:sz w:val="24"/>
          <w:szCs w:val="24"/>
        </w:rPr>
        <w:t xml:space="preserve">addressed </w:t>
      </w:r>
      <w:r w:rsidRPr="00CC607B">
        <w:rPr>
          <w:rFonts w:cs="Calibri"/>
          <w:color w:val="000000"/>
          <w:sz w:val="24"/>
          <w:szCs w:val="24"/>
        </w:rPr>
        <w:t>to the public</w:t>
      </w:r>
      <w:r w:rsidR="00CC607B">
        <w:rPr>
          <w:rFonts w:cs="Calibri"/>
          <w:color w:val="000000"/>
          <w:sz w:val="24"/>
          <w:szCs w:val="24"/>
        </w:rPr>
        <w:t>.</w:t>
      </w:r>
      <w:r w:rsidR="00626D3E">
        <w:rPr>
          <w:rFonts w:cs="Calibri"/>
          <w:color w:val="000000"/>
          <w:sz w:val="24"/>
          <w:szCs w:val="24"/>
        </w:rPr>
        <w:t xml:space="preserve"> </w:t>
      </w:r>
      <w:r w:rsidR="00CC607B">
        <w:rPr>
          <w:rFonts w:cs="Calibri"/>
          <w:color w:val="000000"/>
          <w:sz w:val="24"/>
          <w:szCs w:val="24"/>
        </w:rPr>
        <w:t>P</w:t>
      </w:r>
      <w:r w:rsidRPr="00CC607B">
        <w:rPr>
          <w:rFonts w:cs="Calibri"/>
          <w:color w:val="000000"/>
          <w:sz w:val="24"/>
          <w:szCs w:val="24"/>
        </w:rPr>
        <w:t xml:space="preserve">atient organisations </w:t>
      </w:r>
      <w:r w:rsidR="00CC607B">
        <w:rPr>
          <w:rFonts w:cs="Calibri"/>
          <w:color w:val="000000"/>
          <w:sz w:val="24"/>
          <w:szCs w:val="24"/>
        </w:rPr>
        <w:t>are experts in communicating medical concepts in an understandable way and know the information needs of the patient communities</w:t>
      </w:r>
      <w:r>
        <w:rPr>
          <w:sz w:val="24"/>
          <w:szCs w:val="24"/>
        </w:rPr>
        <w:t>.</w:t>
      </w:r>
    </w:p>
    <w:p w:rsidR="008D4A94" w:rsidRPr="003B5F3D" w:rsidRDefault="008D4A94" w:rsidP="004B389A">
      <w:pPr>
        <w:spacing w:line="240" w:lineRule="auto"/>
        <w:jc w:val="both"/>
        <w:rPr>
          <w:b/>
          <w:sz w:val="24"/>
          <w:szCs w:val="24"/>
        </w:rPr>
      </w:pPr>
    </w:p>
    <w:p w:rsidR="008D4A94" w:rsidRPr="003B5F3D" w:rsidRDefault="008D4A94" w:rsidP="004B389A">
      <w:pPr>
        <w:pBdr>
          <w:bottom w:val="single" w:sz="4" w:space="1" w:color="auto"/>
        </w:pBdr>
        <w:spacing w:line="240" w:lineRule="auto"/>
        <w:jc w:val="center"/>
        <w:rPr>
          <w:b/>
          <w:sz w:val="24"/>
          <w:szCs w:val="24"/>
        </w:rPr>
      </w:pPr>
      <w:r>
        <w:rPr>
          <w:b/>
          <w:sz w:val="24"/>
          <w:szCs w:val="24"/>
        </w:rPr>
        <w:t>Title IX Pharmacovigilance: General provisions</w:t>
      </w:r>
    </w:p>
    <w:p w:rsidR="008D4A94" w:rsidRDefault="008D4A94" w:rsidP="00C810E1">
      <w:pPr>
        <w:spacing w:line="240" w:lineRule="auto"/>
        <w:jc w:val="both"/>
        <w:rPr>
          <w:rFonts w:cs="Calibri"/>
          <w:sz w:val="24"/>
          <w:szCs w:val="24"/>
        </w:rPr>
      </w:pPr>
      <w:r w:rsidRPr="00CE24FE">
        <w:rPr>
          <w:sz w:val="24"/>
          <w:szCs w:val="24"/>
        </w:rPr>
        <w:t xml:space="preserve">Underreporting </w:t>
      </w:r>
      <w:r w:rsidR="00CC607B">
        <w:rPr>
          <w:sz w:val="24"/>
          <w:szCs w:val="24"/>
        </w:rPr>
        <w:t xml:space="preserve">of adverse reactions is a </w:t>
      </w:r>
      <w:r w:rsidRPr="00CE24FE">
        <w:rPr>
          <w:sz w:val="24"/>
          <w:szCs w:val="24"/>
        </w:rPr>
        <w:t>serious issue which undermines the safety of medicines within the European Union: It is estimated that only 10</w:t>
      </w:r>
      <w:r w:rsidRPr="00CE24FE">
        <w:rPr>
          <w:rFonts w:cs="Calibri"/>
          <w:sz w:val="24"/>
          <w:szCs w:val="24"/>
        </w:rPr>
        <w:t>% and 25% of all cases of adverse drug reactions are reported</w:t>
      </w:r>
      <w:r>
        <w:rPr>
          <w:rFonts w:cs="Calibri"/>
          <w:sz w:val="24"/>
          <w:szCs w:val="24"/>
        </w:rPr>
        <w:t xml:space="preserve">. The </w:t>
      </w:r>
      <w:r w:rsidR="00C810E1">
        <w:rPr>
          <w:rFonts w:cs="Calibri"/>
          <w:sz w:val="24"/>
          <w:szCs w:val="24"/>
        </w:rPr>
        <w:t xml:space="preserve">Directive </w:t>
      </w:r>
      <w:r w:rsidR="00EA07B3">
        <w:rPr>
          <w:rFonts w:cs="Calibri"/>
          <w:sz w:val="24"/>
          <w:szCs w:val="24"/>
        </w:rPr>
        <w:t>amends the</w:t>
      </w:r>
      <w:r>
        <w:rPr>
          <w:rFonts w:cs="Calibri"/>
          <w:sz w:val="24"/>
          <w:szCs w:val="24"/>
        </w:rPr>
        <w:t xml:space="preserve"> community code on medicinal products for human use to remedy to this problem</w:t>
      </w:r>
      <w:r w:rsidR="00C810E1">
        <w:rPr>
          <w:rFonts w:cs="Calibri"/>
          <w:sz w:val="24"/>
          <w:szCs w:val="24"/>
        </w:rPr>
        <w:t xml:space="preserve">. </w:t>
      </w:r>
    </w:p>
    <w:p w:rsidR="00C810E1" w:rsidRDefault="00C810E1" w:rsidP="00543149">
      <w:pPr>
        <w:spacing w:after="0" w:line="240" w:lineRule="auto"/>
        <w:jc w:val="both"/>
        <w:rPr>
          <w:sz w:val="24"/>
          <w:szCs w:val="24"/>
        </w:rPr>
      </w:pPr>
    </w:p>
    <w:p w:rsidR="00C810E1" w:rsidRDefault="00C810E1" w:rsidP="00543149">
      <w:pPr>
        <w:spacing w:after="0" w:line="240" w:lineRule="auto"/>
        <w:jc w:val="both"/>
        <w:rPr>
          <w:sz w:val="24"/>
          <w:szCs w:val="24"/>
        </w:rPr>
      </w:pPr>
    </w:p>
    <w:p w:rsidR="008D4A94" w:rsidRDefault="00AD408B" w:rsidP="00C810E1">
      <w:pPr>
        <w:pBdr>
          <w:bottom w:val="single" w:sz="6" w:space="1" w:color="auto"/>
        </w:pBdr>
        <w:spacing w:after="120" w:line="240" w:lineRule="auto"/>
        <w:jc w:val="center"/>
        <w:rPr>
          <w:b/>
          <w:sz w:val="24"/>
          <w:szCs w:val="24"/>
        </w:rPr>
      </w:pPr>
      <w:r w:rsidRPr="00AD408B">
        <w:rPr>
          <w:b/>
          <w:sz w:val="24"/>
          <w:szCs w:val="24"/>
        </w:rPr>
        <w:t>Article 101</w:t>
      </w:r>
      <w:r w:rsidR="00C810E1">
        <w:rPr>
          <w:b/>
          <w:sz w:val="24"/>
          <w:szCs w:val="24"/>
        </w:rPr>
        <w:t>: Pharmacovigilance audit</w:t>
      </w:r>
    </w:p>
    <w:p w:rsidR="00AD408B" w:rsidRDefault="00AD408B" w:rsidP="00C810E1">
      <w:pPr>
        <w:spacing w:line="240" w:lineRule="auto"/>
        <w:jc w:val="both"/>
        <w:rPr>
          <w:sz w:val="24"/>
          <w:szCs w:val="24"/>
        </w:rPr>
      </w:pPr>
      <w:r w:rsidRPr="00C810E1">
        <w:rPr>
          <w:sz w:val="24"/>
          <w:szCs w:val="24"/>
        </w:rPr>
        <w:t xml:space="preserve">Member States are required to conduct an </w:t>
      </w:r>
      <w:r w:rsidRPr="00C810E1">
        <w:rPr>
          <w:i/>
          <w:sz w:val="24"/>
          <w:szCs w:val="24"/>
        </w:rPr>
        <w:t>audit of their pharmacovigilance system</w:t>
      </w:r>
      <w:r w:rsidRPr="00C810E1">
        <w:rPr>
          <w:sz w:val="24"/>
          <w:szCs w:val="24"/>
        </w:rPr>
        <w:t xml:space="preserve"> and report on the results to the Commission by 21 September 2013</w:t>
      </w:r>
      <w:r w:rsidR="00C810E1">
        <w:rPr>
          <w:sz w:val="24"/>
          <w:szCs w:val="24"/>
        </w:rPr>
        <w:t xml:space="preserve">, </w:t>
      </w:r>
      <w:r w:rsidRPr="00C810E1">
        <w:rPr>
          <w:sz w:val="24"/>
          <w:szCs w:val="24"/>
        </w:rPr>
        <w:t xml:space="preserve">then every </w:t>
      </w:r>
      <w:r w:rsidR="00C810E1">
        <w:rPr>
          <w:sz w:val="24"/>
          <w:szCs w:val="24"/>
        </w:rPr>
        <w:t xml:space="preserve">two </w:t>
      </w:r>
      <w:r w:rsidRPr="00C810E1">
        <w:rPr>
          <w:sz w:val="24"/>
          <w:szCs w:val="24"/>
        </w:rPr>
        <w:t>years</w:t>
      </w:r>
      <w:r w:rsidR="006B4D4F">
        <w:rPr>
          <w:sz w:val="24"/>
          <w:szCs w:val="24"/>
        </w:rPr>
        <w:t xml:space="preserve"> [Article 101.2]</w:t>
      </w:r>
    </w:p>
    <w:p w:rsidR="00AD408B" w:rsidRDefault="00AD408B" w:rsidP="00AD408B">
      <w:pPr>
        <w:spacing w:after="0"/>
        <w:jc w:val="both"/>
        <w:rPr>
          <w:rFonts w:cs="EUAlbertina"/>
          <w:color w:val="000000"/>
          <w:sz w:val="24"/>
          <w:szCs w:val="24"/>
        </w:rPr>
      </w:pPr>
    </w:p>
    <w:p w:rsidR="00E13936" w:rsidRDefault="00E13936" w:rsidP="00347BC9">
      <w:pPr>
        <w:spacing w:after="0"/>
        <w:jc w:val="center"/>
        <w:rPr>
          <w:rFonts w:cs="EUAlbertina"/>
          <w:b/>
          <w:color w:val="000000"/>
          <w:sz w:val="24"/>
          <w:szCs w:val="24"/>
        </w:rPr>
      </w:pPr>
    </w:p>
    <w:p w:rsidR="00E13936" w:rsidRDefault="00E13936" w:rsidP="00347BC9">
      <w:pPr>
        <w:spacing w:after="0"/>
        <w:jc w:val="center"/>
        <w:rPr>
          <w:rFonts w:cs="EUAlbertina"/>
          <w:b/>
          <w:color w:val="000000"/>
          <w:sz w:val="24"/>
          <w:szCs w:val="24"/>
        </w:rPr>
      </w:pPr>
    </w:p>
    <w:p w:rsidR="00347BC9" w:rsidRDefault="00DB550C" w:rsidP="00347BC9">
      <w:pPr>
        <w:spacing w:after="0"/>
        <w:jc w:val="center"/>
        <w:rPr>
          <w:rFonts w:cs="EUAlbertina"/>
          <w:b/>
          <w:color w:val="000000"/>
          <w:sz w:val="24"/>
          <w:szCs w:val="24"/>
        </w:rPr>
      </w:pPr>
      <w:r w:rsidRPr="00DB550C">
        <w:rPr>
          <w:rFonts w:cs="EUAlbertina"/>
          <w:noProof/>
          <w:color w:val="000000"/>
          <w:sz w:val="24"/>
          <w:szCs w:val="24"/>
          <w:lang w:val="en-IE" w:eastAsia="en-IE"/>
        </w:rPr>
        <w:pict>
          <v:rect id="_x0000_s1030" style="position:absolute;left:0;text-align:left;margin-left:-9.45pt;margin-top:-5.25pt;width:473.5pt;height:136.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" fillcolor="#0070c0" stroked="f" strokeweight="2pt">
            <v:fill opacity="6682f"/>
            <v:path arrowok="t"/>
          </v:rect>
        </w:pict>
      </w:r>
      <w:r w:rsidR="00347BC9" w:rsidRPr="00347BC9">
        <w:rPr>
          <w:rFonts w:cs="EUAlbertina"/>
          <w:b/>
          <w:color w:val="000000"/>
          <w:sz w:val="24"/>
          <w:szCs w:val="24"/>
        </w:rPr>
        <w:t>Recommendations</w:t>
      </w:r>
    </w:p>
    <w:p w:rsidR="00AD408B" w:rsidRPr="00AD408B" w:rsidRDefault="00AD408B" w:rsidP="00EA07B3">
      <w:pPr>
        <w:spacing w:after="0" w:line="240" w:lineRule="auto"/>
        <w:jc w:val="both"/>
        <w:rPr>
          <w:rFonts w:cs="EUAlbertina"/>
          <w:color w:val="000000"/>
          <w:sz w:val="24"/>
          <w:szCs w:val="24"/>
        </w:rPr>
      </w:pPr>
      <w:r w:rsidRPr="00AD408B">
        <w:rPr>
          <w:rFonts w:cs="EUAlbertina"/>
          <w:color w:val="000000"/>
          <w:sz w:val="24"/>
          <w:szCs w:val="24"/>
        </w:rPr>
        <w:t>We recommend that Member States consult patient organisations to gather information about the functioning of the pharmacovigilance system in general</w:t>
      </w:r>
      <w:r w:rsidR="00C810E1">
        <w:rPr>
          <w:rFonts w:cs="EUAlbertina"/>
          <w:color w:val="000000"/>
          <w:sz w:val="24"/>
          <w:szCs w:val="24"/>
        </w:rPr>
        <w:t>,</w:t>
      </w:r>
      <w:r w:rsidRPr="00AD408B">
        <w:rPr>
          <w:rFonts w:cs="EUAlbertina"/>
          <w:color w:val="000000"/>
          <w:sz w:val="24"/>
          <w:szCs w:val="24"/>
        </w:rPr>
        <w:t xml:space="preserve"> and regarding the implementation of</w:t>
      </w:r>
      <w:r>
        <w:rPr>
          <w:rFonts w:cs="EUAlbertina"/>
          <w:color w:val="000000"/>
          <w:sz w:val="24"/>
          <w:szCs w:val="24"/>
        </w:rPr>
        <w:t xml:space="preserve"> this legislation and </w:t>
      </w:r>
      <w:r w:rsidRPr="00AD408B">
        <w:rPr>
          <w:rFonts w:cs="EUAlbertina"/>
          <w:color w:val="000000"/>
          <w:sz w:val="24"/>
          <w:szCs w:val="24"/>
        </w:rPr>
        <w:t xml:space="preserve">patient </w:t>
      </w:r>
      <w:r w:rsidR="00C810E1">
        <w:rPr>
          <w:rFonts w:cs="EUAlbertina"/>
          <w:color w:val="000000"/>
          <w:sz w:val="24"/>
          <w:szCs w:val="24"/>
        </w:rPr>
        <w:t>‘</w:t>
      </w:r>
      <w:r w:rsidRPr="00AD408B">
        <w:rPr>
          <w:rFonts w:cs="EUAlbertina"/>
          <w:color w:val="000000"/>
          <w:sz w:val="24"/>
          <w:szCs w:val="24"/>
        </w:rPr>
        <w:t xml:space="preserve">organisations involvement by the </w:t>
      </w:r>
      <w:r w:rsidR="00C810E1">
        <w:rPr>
          <w:rFonts w:cs="EUAlbertina"/>
          <w:color w:val="000000"/>
          <w:sz w:val="24"/>
          <w:szCs w:val="24"/>
        </w:rPr>
        <w:t xml:space="preserve">NCA </w:t>
      </w:r>
      <w:r>
        <w:rPr>
          <w:rFonts w:cs="EUAlbertina"/>
          <w:color w:val="000000"/>
          <w:sz w:val="24"/>
          <w:szCs w:val="24"/>
        </w:rPr>
        <w:t xml:space="preserve">or Member </w:t>
      </w:r>
      <w:r w:rsidR="00C810E1">
        <w:rPr>
          <w:rFonts w:cs="EUAlbertina"/>
          <w:color w:val="000000"/>
          <w:sz w:val="24"/>
          <w:szCs w:val="24"/>
        </w:rPr>
        <w:t>S</w:t>
      </w:r>
      <w:r>
        <w:rPr>
          <w:rFonts w:cs="EUAlbertina"/>
          <w:color w:val="000000"/>
          <w:sz w:val="24"/>
          <w:szCs w:val="24"/>
        </w:rPr>
        <w:t xml:space="preserve">tate in this process </w:t>
      </w:r>
      <w:r w:rsidR="00C810E1">
        <w:rPr>
          <w:rFonts w:cs="EUAlbertina"/>
          <w:color w:val="000000"/>
          <w:sz w:val="24"/>
          <w:szCs w:val="24"/>
        </w:rPr>
        <w:t xml:space="preserve">– </w:t>
      </w:r>
      <w:r>
        <w:rPr>
          <w:rFonts w:cs="EUAlbertina"/>
          <w:color w:val="000000"/>
          <w:sz w:val="24"/>
          <w:szCs w:val="24"/>
        </w:rPr>
        <w:t>in</w:t>
      </w:r>
      <w:r w:rsidR="00626D3E">
        <w:rPr>
          <w:rFonts w:cs="EUAlbertina"/>
          <w:color w:val="000000"/>
          <w:sz w:val="24"/>
          <w:szCs w:val="24"/>
        </w:rPr>
        <w:t xml:space="preserve"> </w:t>
      </w:r>
      <w:r>
        <w:rPr>
          <w:rFonts w:cs="EUAlbertina"/>
          <w:color w:val="000000"/>
          <w:sz w:val="24"/>
          <w:szCs w:val="24"/>
        </w:rPr>
        <w:t xml:space="preserve">particular for </w:t>
      </w:r>
      <w:r w:rsidR="00C810E1">
        <w:rPr>
          <w:rFonts w:cs="EUAlbertina"/>
          <w:color w:val="000000"/>
          <w:sz w:val="24"/>
          <w:szCs w:val="24"/>
        </w:rPr>
        <w:t xml:space="preserve">the </w:t>
      </w:r>
      <w:r w:rsidRPr="00AD408B">
        <w:rPr>
          <w:rFonts w:cs="EUAlbertina"/>
          <w:color w:val="000000"/>
          <w:sz w:val="24"/>
          <w:szCs w:val="24"/>
        </w:rPr>
        <w:t xml:space="preserve">provisions concerning direct </w:t>
      </w:r>
      <w:r w:rsidR="00C810E1">
        <w:rPr>
          <w:rFonts w:cs="EUAlbertina"/>
          <w:color w:val="000000"/>
          <w:sz w:val="24"/>
          <w:szCs w:val="24"/>
        </w:rPr>
        <w:t xml:space="preserve">patient </w:t>
      </w:r>
      <w:r w:rsidRPr="00AD408B">
        <w:rPr>
          <w:rFonts w:cs="EUAlbertina"/>
          <w:color w:val="000000"/>
          <w:sz w:val="24"/>
          <w:szCs w:val="24"/>
        </w:rPr>
        <w:t xml:space="preserve">reporting, information to the </w:t>
      </w:r>
      <w:r>
        <w:rPr>
          <w:rFonts w:cs="EUAlbertina"/>
          <w:color w:val="000000"/>
          <w:sz w:val="24"/>
          <w:szCs w:val="24"/>
        </w:rPr>
        <w:t>public</w:t>
      </w:r>
      <w:r w:rsidR="00C810E1">
        <w:rPr>
          <w:rFonts w:cs="EUAlbertina"/>
          <w:color w:val="000000"/>
          <w:sz w:val="24"/>
          <w:szCs w:val="24"/>
        </w:rPr>
        <w:t>,</w:t>
      </w:r>
      <w:r>
        <w:rPr>
          <w:rFonts w:cs="EUAlbertina"/>
          <w:color w:val="000000"/>
          <w:sz w:val="24"/>
          <w:szCs w:val="24"/>
        </w:rPr>
        <w:t xml:space="preserve"> and the national </w:t>
      </w:r>
      <w:r w:rsidR="00C810E1">
        <w:rPr>
          <w:rFonts w:cs="EUAlbertina"/>
          <w:color w:val="000000"/>
          <w:sz w:val="24"/>
          <w:szCs w:val="24"/>
        </w:rPr>
        <w:t xml:space="preserve">medicines </w:t>
      </w:r>
      <w:r>
        <w:rPr>
          <w:rFonts w:cs="EUAlbertina"/>
          <w:color w:val="000000"/>
          <w:sz w:val="24"/>
          <w:szCs w:val="24"/>
        </w:rPr>
        <w:t>web</w:t>
      </w:r>
      <w:r w:rsidR="00C810E1">
        <w:rPr>
          <w:rFonts w:cs="EUAlbertina"/>
          <w:color w:val="000000"/>
          <w:sz w:val="24"/>
          <w:szCs w:val="24"/>
        </w:rPr>
        <w:t>-</w:t>
      </w:r>
      <w:r>
        <w:rPr>
          <w:rFonts w:cs="EUAlbertina"/>
          <w:color w:val="000000"/>
          <w:sz w:val="24"/>
          <w:szCs w:val="24"/>
        </w:rPr>
        <w:t xml:space="preserve">portal. </w:t>
      </w:r>
      <w:r w:rsidR="00347BC9">
        <w:rPr>
          <w:rFonts w:cs="EUAlbertina"/>
          <w:color w:val="000000"/>
          <w:sz w:val="24"/>
          <w:szCs w:val="24"/>
        </w:rPr>
        <w:t xml:space="preserve">This </w:t>
      </w:r>
      <w:r w:rsidR="00C810E1">
        <w:rPr>
          <w:rFonts w:cs="EUAlbertina"/>
          <w:color w:val="000000"/>
          <w:sz w:val="24"/>
          <w:szCs w:val="24"/>
        </w:rPr>
        <w:t xml:space="preserve">will </w:t>
      </w:r>
      <w:r w:rsidR="00347BC9">
        <w:rPr>
          <w:rFonts w:cs="EUAlbertina"/>
          <w:color w:val="000000"/>
          <w:sz w:val="24"/>
          <w:szCs w:val="24"/>
        </w:rPr>
        <w:t xml:space="preserve">help assess </w:t>
      </w:r>
      <w:r w:rsidR="00C810E1">
        <w:rPr>
          <w:rFonts w:cs="EUAlbertina"/>
          <w:color w:val="000000"/>
          <w:sz w:val="24"/>
          <w:szCs w:val="24"/>
        </w:rPr>
        <w:t xml:space="preserve">the </w:t>
      </w:r>
      <w:r w:rsidR="00347BC9">
        <w:rPr>
          <w:rFonts w:cs="EUAlbertina"/>
          <w:color w:val="000000"/>
          <w:sz w:val="24"/>
          <w:szCs w:val="24"/>
        </w:rPr>
        <w:t xml:space="preserve">impact of the measures </w:t>
      </w:r>
      <w:r w:rsidR="00C810E1">
        <w:rPr>
          <w:rFonts w:cs="EUAlbertina"/>
          <w:color w:val="000000"/>
          <w:sz w:val="24"/>
          <w:szCs w:val="24"/>
        </w:rPr>
        <w:t xml:space="preserve">to </w:t>
      </w:r>
      <w:r w:rsidR="00347BC9">
        <w:rPr>
          <w:rFonts w:cs="EUAlbertina"/>
          <w:color w:val="000000"/>
          <w:sz w:val="24"/>
          <w:szCs w:val="24"/>
        </w:rPr>
        <w:t xml:space="preserve">increase transparency </w:t>
      </w:r>
      <w:r w:rsidR="00C810E1">
        <w:rPr>
          <w:rFonts w:cs="EUAlbertina"/>
          <w:color w:val="000000"/>
          <w:sz w:val="24"/>
          <w:szCs w:val="24"/>
        </w:rPr>
        <w:t>and safety, while e</w:t>
      </w:r>
      <w:r w:rsidR="00347BC9">
        <w:rPr>
          <w:rFonts w:cs="EUAlbertina"/>
          <w:color w:val="000000"/>
          <w:sz w:val="24"/>
          <w:szCs w:val="24"/>
        </w:rPr>
        <w:t>ncourag</w:t>
      </w:r>
      <w:r w:rsidR="00C810E1">
        <w:rPr>
          <w:rFonts w:cs="EUAlbertina"/>
          <w:color w:val="000000"/>
          <w:sz w:val="24"/>
          <w:szCs w:val="24"/>
        </w:rPr>
        <w:t xml:space="preserve">ing </w:t>
      </w:r>
      <w:r w:rsidR="00347BC9">
        <w:rPr>
          <w:rFonts w:cs="EUAlbertina"/>
          <w:color w:val="000000"/>
          <w:sz w:val="24"/>
          <w:szCs w:val="24"/>
        </w:rPr>
        <w:t xml:space="preserve">patient </w:t>
      </w:r>
      <w:r w:rsidR="00C810E1">
        <w:rPr>
          <w:rFonts w:cs="EUAlbertina"/>
          <w:color w:val="000000"/>
          <w:sz w:val="24"/>
          <w:szCs w:val="24"/>
        </w:rPr>
        <w:t>and citizen involvement at policy level</w:t>
      </w:r>
      <w:r w:rsidR="00347BC9">
        <w:rPr>
          <w:rFonts w:cs="EUAlbertina"/>
          <w:color w:val="000000"/>
          <w:sz w:val="24"/>
          <w:szCs w:val="24"/>
        </w:rPr>
        <w:t>.</w:t>
      </w:r>
    </w:p>
    <w:p w:rsidR="00AD408B" w:rsidRDefault="00AD408B" w:rsidP="00AD408B">
      <w:pPr>
        <w:spacing w:after="0" w:line="240" w:lineRule="auto"/>
        <w:jc w:val="center"/>
        <w:rPr>
          <w:b/>
          <w:sz w:val="24"/>
          <w:szCs w:val="24"/>
        </w:rPr>
      </w:pPr>
    </w:p>
    <w:p w:rsidR="00AD408B" w:rsidRPr="00AD408B" w:rsidRDefault="00AD408B" w:rsidP="00AD408B">
      <w:pPr>
        <w:spacing w:after="0" w:line="240" w:lineRule="auto"/>
        <w:jc w:val="center"/>
        <w:rPr>
          <w:b/>
          <w:sz w:val="24"/>
          <w:szCs w:val="24"/>
        </w:rPr>
      </w:pPr>
    </w:p>
    <w:p w:rsidR="008D4A94" w:rsidRDefault="008D4A94" w:rsidP="00C810E1">
      <w:pPr>
        <w:pBdr>
          <w:bottom w:val="single" w:sz="6" w:space="1" w:color="auto"/>
        </w:pBdr>
        <w:spacing w:after="120" w:line="240" w:lineRule="auto"/>
        <w:jc w:val="center"/>
        <w:rPr>
          <w:b/>
          <w:sz w:val="24"/>
          <w:szCs w:val="24"/>
        </w:rPr>
      </w:pPr>
      <w:r w:rsidRPr="00177130">
        <w:rPr>
          <w:b/>
          <w:sz w:val="24"/>
          <w:szCs w:val="24"/>
        </w:rPr>
        <w:t>Article 102</w:t>
      </w:r>
      <w:r w:rsidR="00C810E1">
        <w:rPr>
          <w:b/>
          <w:sz w:val="24"/>
          <w:szCs w:val="24"/>
        </w:rPr>
        <w:t>: Direct patient reporting</w:t>
      </w:r>
    </w:p>
    <w:p w:rsidR="00C810E1" w:rsidRDefault="008D4A94" w:rsidP="00C810E1">
      <w:pPr>
        <w:spacing w:after="160" w:line="240" w:lineRule="auto"/>
        <w:jc w:val="both"/>
        <w:rPr>
          <w:sz w:val="24"/>
          <w:szCs w:val="24"/>
        </w:rPr>
      </w:pPr>
      <w:r>
        <w:rPr>
          <w:sz w:val="24"/>
          <w:szCs w:val="24"/>
        </w:rPr>
        <w:t xml:space="preserve">Member states are requested to take </w:t>
      </w:r>
      <w:r w:rsidRPr="00C810E1">
        <w:rPr>
          <w:i/>
          <w:sz w:val="24"/>
          <w:szCs w:val="24"/>
        </w:rPr>
        <w:t>all appropriate measures to encourage patients and healthcare professionals to report suspected adverse reactions</w:t>
      </w:r>
      <w:r>
        <w:rPr>
          <w:sz w:val="24"/>
          <w:szCs w:val="24"/>
        </w:rPr>
        <w:t xml:space="preserve"> to the national competent authority.  </w:t>
      </w:r>
      <w:r w:rsidRPr="00C34A56">
        <w:rPr>
          <w:sz w:val="24"/>
          <w:szCs w:val="24"/>
        </w:rPr>
        <w:t xml:space="preserve">Member States shall also facilitate </w:t>
      </w:r>
      <w:r w:rsidRPr="00BF43CD">
        <w:rPr>
          <w:b/>
          <w:i/>
          <w:sz w:val="24"/>
          <w:szCs w:val="24"/>
        </w:rPr>
        <w:t>direct patient reporting</w:t>
      </w:r>
      <w:r w:rsidRPr="00C34A56">
        <w:rPr>
          <w:sz w:val="24"/>
          <w:szCs w:val="24"/>
        </w:rPr>
        <w:t xml:space="preserve"> through the web based format and alternative formats </w:t>
      </w:r>
      <w:r w:rsidR="00C810E1">
        <w:rPr>
          <w:sz w:val="24"/>
          <w:szCs w:val="24"/>
        </w:rPr>
        <w:t>[A</w:t>
      </w:r>
      <w:r w:rsidRPr="00C34A56">
        <w:rPr>
          <w:sz w:val="24"/>
          <w:szCs w:val="24"/>
        </w:rPr>
        <w:t>rt</w:t>
      </w:r>
      <w:r w:rsidR="006B4D4F">
        <w:rPr>
          <w:sz w:val="24"/>
          <w:szCs w:val="24"/>
        </w:rPr>
        <w:t>icle</w:t>
      </w:r>
      <w:r w:rsidRPr="00C34A56">
        <w:rPr>
          <w:sz w:val="24"/>
          <w:szCs w:val="24"/>
        </w:rPr>
        <w:t>102</w:t>
      </w:r>
      <w:r w:rsidR="00C810E1">
        <w:rPr>
          <w:sz w:val="24"/>
          <w:szCs w:val="24"/>
        </w:rPr>
        <w:t>(</w:t>
      </w:r>
      <w:r w:rsidRPr="00C34A56">
        <w:rPr>
          <w:sz w:val="24"/>
          <w:szCs w:val="24"/>
        </w:rPr>
        <w:t>b</w:t>
      </w:r>
      <w:r w:rsidR="00C810E1">
        <w:rPr>
          <w:sz w:val="24"/>
          <w:szCs w:val="24"/>
        </w:rPr>
        <w:t>)]</w:t>
      </w:r>
      <w:r w:rsidRPr="00C34A56">
        <w:rPr>
          <w:sz w:val="24"/>
          <w:szCs w:val="24"/>
        </w:rPr>
        <w:t xml:space="preserve">. </w:t>
      </w:r>
    </w:p>
    <w:p w:rsidR="007B4532" w:rsidRDefault="00C810E1" w:rsidP="00C810E1">
      <w:pPr>
        <w:spacing w:after="160" w:line="240" w:lineRule="auto"/>
        <w:jc w:val="both"/>
        <w:rPr>
          <w:sz w:val="24"/>
          <w:szCs w:val="24"/>
        </w:rPr>
      </w:pPr>
      <w:r>
        <w:rPr>
          <w:sz w:val="24"/>
          <w:szCs w:val="24"/>
        </w:rPr>
        <w:t xml:space="preserve">EPF welcomes this provision. In </w:t>
      </w:r>
      <w:r>
        <w:rPr>
          <w:rFonts w:cs="Calibri"/>
          <w:color w:val="000000"/>
          <w:sz w:val="24"/>
          <w:szCs w:val="24"/>
          <w:lang w:eastAsia="en-GB"/>
        </w:rPr>
        <w:t xml:space="preserve">those Member States </w:t>
      </w:r>
      <w:r w:rsidR="008D4A94" w:rsidRPr="00C34A56">
        <w:rPr>
          <w:rFonts w:cs="Calibri"/>
          <w:color w:val="000000"/>
          <w:sz w:val="24"/>
          <w:szCs w:val="24"/>
          <w:lang w:eastAsia="en-GB"/>
        </w:rPr>
        <w:t>where direct patient reporting already exists</w:t>
      </w:r>
      <w:r>
        <w:rPr>
          <w:rFonts w:cs="Calibri"/>
          <w:color w:val="000000"/>
          <w:sz w:val="24"/>
          <w:szCs w:val="24"/>
          <w:lang w:eastAsia="en-GB"/>
        </w:rPr>
        <w:t>,</w:t>
      </w:r>
      <w:r w:rsidR="008D4A94" w:rsidRPr="00C34A56">
        <w:rPr>
          <w:rFonts w:cs="Calibri"/>
          <w:color w:val="000000"/>
          <w:sz w:val="24"/>
          <w:szCs w:val="24"/>
          <w:lang w:eastAsia="en-GB"/>
        </w:rPr>
        <w:t xml:space="preserve"> it has not overburdened the national competent authority</w:t>
      </w:r>
      <w:r>
        <w:rPr>
          <w:rFonts w:cs="Calibri"/>
          <w:color w:val="000000"/>
          <w:sz w:val="24"/>
          <w:szCs w:val="24"/>
          <w:lang w:eastAsia="en-GB"/>
        </w:rPr>
        <w:t>;</w:t>
      </w:r>
      <w:r w:rsidR="00626D3E">
        <w:rPr>
          <w:rFonts w:cs="Calibri"/>
          <w:color w:val="000000"/>
          <w:sz w:val="24"/>
          <w:szCs w:val="24"/>
          <w:lang w:eastAsia="en-GB"/>
        </w:rPr>
        <w:t xml:space="preserve"> </w:t>
      </w:r>
      <w:r>
        <w:rPr>
          <w:rFonts w:cs="Calibri"/>
          <w:color w:val="000000"/>
          <w:sz w:val="24"/>
          <w:szCs w:val="24"/>
          <w:lang w:eastAsia="en-GB"/>
        </w:rPr>
        <w:t>o</w:t>
      </w:r>
      <w:r w:rsidR="008D4A94" w:rsidRPr="00C34A56">
        <w:rPr>
          <w:rFonts w:cs="Calibri"/>
          <w:color w:val="000000"/>
          <w:sz w:val="24"/>
          <w:szCs w:val="24"/>
          <w:lang w:eastAsia="en-GB"/>
        </w:rPr>
        <w:t>n the contrary, studies and pilot projects have shown the</w:t>
      </w:r>
      <w:r w:rsidR="008D4A94" w:rsidRPr="00C34A56">
        <w:rPr>
          <w:sz w:val="24"/>
          <w:szCs w:val="24"/>
        </w:rPr>
        <w:t xml:space="preserve"> added value of direct patient reporting</w:t>
      </w:r>
      <w:r>
        <w:rPr>
          <w:sz w:val="24"/>
          <w:szCs w:val="24"/>
        </w:rPr>
        <w:t>.</w:t>
      </w:r>
    </w:p>
    <w:p w:rsidR="007B4532" w:rsidRDefault="00C810E1" w:rsidP="00C810E1">
      <w:pPr>
        <w:spacing w:after="160" w:line="240" w:lineRule="auto"/>
        <w:jc w:val="both"/>
        <w:rPr>
          <w:sz w:val="24"/>
          <w:szCs w:val="24"/>
        </w:rPr>
      </w:pPr>
      <w:r>
        <w:rPr>
          <w:sz w:val="24"/>
          <w:szCs w:val="24"/>
        </w:rPr>
        <w:t>P</w:t>
      </w:r>
      <w:r w:rsidR="008D4A94" w:rsidRPr="00C34A56">
        <w:rPr>
          <w:sz w:val="24"/>
          <w:szCs w:val="24"/>
        </w:rPr>
        <w:t xml:space="preserve">atients </w:t>
      </w:r>
      <w:r w:rsidR="007B4532" w:rsidRPr="00C34A56">
        <w:rPr>
          <w:sz w:val="24"/>
          <w:szCs w:val="24"/>
        </w:rPr>
        <w:t>are in the best position to report a reaction</w:t>
      </w:r>
      <w:r w:rsidR="007B4532">
        <w:rPr>
          <w:sz w:val="24"/>
          <w:szCs w:val="24"/>
        </w:rPr>
        <w:t>, as they</w:t>
      </w:r>
      <w:r w:rsidR="00626D3E">
        <w:rPr>
          <w:sz w:val="24"/>
          <w:szCs w:val="24"/>
        </w:rPr>
        <w:t xml:space="preserve"> </w:t>
      </w:r>
      <w:r w:rsidR="008D4A94" w:rsidRPr="00C34A56">
        <w:rPr>
          <w:rFonts w:cs="Calibri"/>
          <w:color w:val="000000"/>
          <w:sz w:val="24"/>
          <w:szCs w:val="24"/>
          <w:lang w:eastAsia="en-GB"/>
        </w:rPr>
        <w:t>have a unique personal knowledge and experience of the effects of the medication they take</w:t>
      </w:r>
      <w:r w:rsidR="007B4532">
        <w:rPr>
          <w:rFonts w:cs="Calibri"/>
          <w:color w:val="000000"/>
          <w:sz w:val="24"/>
          <w:szCs w:val="24"/>
          <w:lang w:eastAsia="en-GB"/>
        </w:rPr>
        <w:t>,</w:t>
      </w:r>
      <w:r w:rsidR="008D4A94" w:rsidRPr="00C34A56">
        <w:rPr>
          <w:sz w:val="24"/>
          <w:szCs w:val="24"/>
        </w:rPr>
        <w:t xml:space="preserve"> on their body as well as their daily lives. </w:t>
      </w:r>
      <w:r w:rsidR="00B5499F" w:rsidRPr="00283C36">
        <w:rPr>
          <w:sz w:val="24"/>
          <w:szCs w:val="24"/>
        </w:rPr>
        <w:t>Patients are able to give more details on the circumstances surrounding the reaction</w:t>
      </w:r>
      <w:r w:rsidR="007B4532">
        <w:rPr>
          <w:sz w:val="24"/>
          <w:szCs w:val="24"/>
        </w:rPr>
        <w:t>;</w:t>
      </w:r>
      <w:r w:rsidR="00626D3E">
        <w:rPr>
          <w:sz w:val="24"/>
          <w:szCs w:val="24"/>
        </w:rPr>
        <w:t xml:space="preserve"> </w:t>
      </w:r>
      <w:r w:rsidR="007B4532">
        <w:rPr>
          <w:sz w:val="24"/>
          <w:szCs w:val="24"/>
        </w:rPr>
        <w:t xml:space="preserve">their reports are more nuanced and descriptive in nature, often yielding important new information concerning reactions. </w:t>
      </w:r>
    </w:p>
    <w:p w:rsidR="00B5499F" w:rsidRDefault="007B4532" w:rsidP="00C810E1">
      <w:pPr>
        <w:spacing w:after="160" w:line="240" w:lineRule="auto"/>
        <w:jc w:val="both"/>
        <w:rPr>
          <w:rFonts w:cs="Calibri"/>
          <w:color w:val="000000"/>
          <w:sz w:val="24"/>
          <w:szCs w:val="24"/>
          <w:lang w:eastAsia="en-GB"/>
        </w:rPr>
      </w:pPr>
      <w:r>
        <w:rPr>
          <w:sz w:val="24"/>
          <w:szCs w:val="24"/>
        </w:rPr>
        <w:t xml:space="preserve">While EPF believes the patient-healthcare professional relationship should remain central, patients may have difficulty in </w:t>
      </w:r>
      <w:r w:rsidR="00B5499F" w:rsidRPr="00283C36">
        <w:rPr>
          <w:sz w:val="24"/>
          <w:szCs w:val="24"/>
        </w:rPr>
        <w:t>reporting through healthcare</w:t>
      </w:r>
      <w:r w:rsidR="00B5499F">
        <w:rPr>
          <w:sz w:val="24"/>
          <w:szCs w:val="24"/>
        </w:rPr>
        <w:t xml:space="preserve"> professional</w:t>
      </w:r>
      <w:r>
        <w:rPr>
          <w:sz w:val="24"/>
          <w:szCs w:val="24"/>
        </w:rPr>
        <w:t>s</w:t>
      </w:r>
      <w:r w:rsidR="00B5499F">
        <w:rPr>
          <w:sz w:val="24"/>
          <w:szCs w:val="24"/>
        </w:rPr>
        <w:t xml:space="preserve"> in some situations:</w:t>
      </w:r>
      <w:r w:rsidR="00B5499F" w:rsidRPr="00B5499F">
        <w:rPr>
          <w:sz w:val="24"/>
          <w:szCs w:val="24"/>
        </w:rPr>
        <w:t xml:space="preserve">  e.g. if the adverse reaction is of intimate nature, </w:t>
      </w:r>
      <w:r>
        <w:rPr>
          <w:sz w:val="24"/>
          <w:szCs w:val="24"/>
        </w:rPr>
        <w:t xml:space="preserve">or </w:t>
      </w:r>
      <w:r w:rsidR="00B5499F" w:rsidRPr="00B5499F">
        <w:rPr>
          <w:sz w:val="24"/>
          <w:szCs w:val="24"/>
        </w:rPr>
        <w:t>if it results from an error</w:t>
      </w:r>
      <w:r>
        <w:rPr>
          <w:sz w:val="24"/>
          <w:szCs w:val="24"/>
        </w:rPr>
        <w:t>. In addition, health professionals may be reluctant to report, whether for lack of time or other reasons (such as in cases where the medicine is</w:t>
      </w:r>
      <w:r w:rsidR="00B5499F" w:rsidRPr="00B5499F">
        <w:rPr>
          <w:sz w:val="24"/>
          <w:szCs w:val="24"/>
        </w:rPr>
        <w:t xml:space="preserve"> prescribed off-label</w:t>
      </w:r>
      <w:r>
        <w:rPr>
          <w:sz w:val="24"/>
          <w:szCs w:val="24"/>
        </w:rPr>
        <w:t>).</w:t>
      </w:r>
    </w:p>
    <w:p w:rsidR="008D4A94" w:rsidRDefault="007B4532" w:rsidP="00C810E1">
      <w:pPr>
        <w:spacing w:after="160" w:line="240" w:lineRule="auto"/>
        <w:jc w:val="both"/>
        <w:rPr>
          <w:rFonts w:cs="Calibri"/>
          <w:color w:val="000000"/>
          <w:sz w:val="24"/>
          <w:szCs w:val="24"/>
          <w:lang w:eastAsia="en-GB"/>
        </w:rPr>
      </w:pPr>
      <w:r w:rsidRPr="00C34A56">
        <w:rPr>
          <w:rFonts w:cs="Calibri"/>
          <w:color w:val="000000"/>
          <w:sz w:val="24"/>
          <w:szCs w:val="24"/>
          <w:lang w:eastAsia="en-GB"/>
        </w:rPr>
        <w:t>T</w:t>
      </w:r>
      <w:r w:rsidR="008D4A94" w:rsidRPr="00C34A56">
        <w:rPr>
          <w:rFonts w:cs="Calibri"/>
          <w:color w:val="000000"/>
          <w:sz w:val="24"/>
          <w:szCs w:val="24"/>
          <w:lang w:eastAsia="en-GB"/>
        </w:rPr>
        <w:t>he</w:t>
      </w:r>
      <w:r w:rsidR="00626D3E">
        <w:rPr>
          <w:rFonts w:cs="Calibri"/>
          <w:color w:val="000000"/>
          <w:sz w:val="24"/>
          <w:szCs w:val="24"/>
          <w:lang w:eastAsia="en-GB"/>
        </w:rPr>
        <w:t xml:space="preserve"> </w:t>
      </w:r>
      <w:r w:rsidR="008D4A94" w:rsidRPr="00C34A56">
        <w:rPr>
          <w:rFonts w:cs="Calibri"/>
          <w:color w:val="000000"/>
          <w:sz w:val="24"/>
          <w:szCs w:val="24"/>
          <w:lang w:eastAsia="en-GB"/>
        </w:rPr>
        <w:t>possibility to report directly will lead to more crucial safety information being collected, and therefore to better medication safety</w:t>
      </w:r>
      <w:r w:rsidR="008D4A94">
        <w:rPr>
          <w:rFonts w:cs="Calibri"/>
          <w:color w:val="000000"/>
          <w:sz w:val="24"/>
          <w:szCs w:val="24"/>
          <w:lang w:eastAsia="en-GB"/>
        </w:rPr>
        <w:t>. A user</w:t>
      </w:r>
      <w:r w:rsidR="004C1C4D">
        <w:rPr>
          <w:rFonts w:cs="Calibri"/>
          <w:color w:val="000000"/>
          <w:sz w:val="24"/>
          <w:szCs w:val="24"/>
          <w:lang w:eastAsia="en-GB"/>
        </w:rPr>
        <w:t>-</w:t>
      </w:r>
      <w:r w:rsidR="008D4A94">
        <w:rPr>
          <w:rFonts w:cs="Calibri"/>
          <w:color w:val="000000"/>
          <w:sz w:val="24"/>
          <w:szCs w:val="24"/>
          <w:lang w:eastAsia="en-GB"/>
        </w:rPr>
        <w:t xml:space="preserve">friendly system, and raising awareness of patients on the importance of reporting </w:t>
      </w:r>
      <w:r>
        <w:rPr>
          <w:rFonts w:cs="Calibri"/>
          <w:color w:val="000000"/>
          <w:sz w:val="24"/>
          <w:szCs w:val="24"/>
          <w:lang w:eastAsia="en-GB"/>
        </w:rPr>
        <w:t xml:space="preserve">reactions, </w:t>
      </w:r>
      <w:r w:rsidR="008D4A94">
        <w:rPr>
          <w:rFonts w:cs="Calibri"/>
          <w:color w:val="000000"/>
          <w:sz w:val="24"/>
          <w:szCs w:val="24"/>
          <w:lang w:eastAsia="en-GB"/>
        </w:rPr>
        <w:t xml:space="preserve">is in our view essential to harness this </w:t>
      </w:r>
      <w:r>
        <w:rPr>
          <w:rFonts w:cs="Calibri"/>
          <w:color w:val="000000"/>
          <w:sz w:val="24"/>
          <w:szCs w:val="24"/>
          <w:lang w:eastAsia="en-GB"/>
        </w:rPr>
        <w:t xml:space="preserve">benefit </w:t>
      </w:r>
      <w:r w:rsidR="008D4A94">
        <w:rPr>
          <w:rFonts w:cs="Calibri"/>
          <w:color w:val="000000"/>
          <w:sz w:val="24"/>
          <w:szCs w:val="24"/>
          <w:lang w:eastAsia="en-GB"/>
        </w:rPr>
        <w:t xml:space="preserve">to improve </w:t>
      </w:r>
      <w:r>
        <w:rPr>
          <w:rFonts w:cs="Calibri"/>
          <w:color w:val="000000"/>
          <w:sz w:val="24"/>
          <w:szCs w:val="24"/>
          <w:lang w:eastAsia="en-GB"/>
        </w:rPr>
        <w:t>public health</w:t>
      </w:r>
      <w:r w:rsidR="008D4A94">
        <w:rPr>
          <w:rFonts w:cs="Calibri"/>
          <w:color w:val="000000"/>
          <w:sz w:val="24"/>
          <w:szCs w:val="24"/>
          <w:lang w:eastAsia="en-GB"/>
        </w:rPr>
        <w:t>.</w:t>
      </w:r>
    </w:p>
    <w:p w:rsidR="008D4A94" w:rsidRDefault="008D4A94" w:rsidP="00C810E1">
      <w:pPr>
        <w:spacing w:after="160" w:line="240" w:lineRule="auto"/>
        <w:jc w:val="both"/>
        <w:rPr>
          <w:sz w:val="24"/>
          <w:szCs w:val="24"/>
        </w:rPr>
      </w:pPr>
      <w:r w:rsidRPr="00A73F0F">
        <w:rPr>
          <w:sz w:val="24"/>
          <w:szCs w:val="24"/>
        </w:rPr>
        <w:t>The article also contains</w:t>
      </w:r>
      <w:r w:rsidR="00626D3E">
        <w:rPr>
          <w:sz w:val="24"/>
          <w:szCs w:val="24"/>
        </w:rPr>
        <w:t xml:space="preserve"> </w:t>
      </w:r>
      <w:r w:rsidRPr="00716F98">
        <w:rPr>
          <w:sz w:val="24"/>
          <w:szCs w:val="24"/>
        </w:rPr>
        <w:t xml:space="preserve">specific provisions </w:t>
      </w:r>
      <w:r>
        <w:rPr>
          <w:sz w:val="24"/>
          <w:szCs w:val="24"/>
        </w:rPr>
        <w:t xml:space="preserve">to ensure that the </w:t>
      </w:r>
      <w:r w:rsidRPr="00BF43CD">
        <w:rPr>
          <w:sz w:val="24"/>
          <w:szCs w:val="24"/>
        </w:rPr>
        <w:t>public is provided</w:t>
      </w:r>
      <w:r w:rsidR="00CE1786">
        <w:rPr>
          <w:sz w:val="24"/>
          <w:szCs w:val="24"/>
        </w:rPr>
        <w:t xml:space="preserve"> </w:t>
      </w:r>
      <w:r w:rsidRPr="00BF43CD">
        <w:rPr>
          <w:sz w:val="24"/>
          <w:szCs w:val="24"/>
        </w:rPr>
        <w:t>important</w:t>
      </w:r>
      <w:r w:rsidR="00CE1786">
        <w:rPr>
          <w:sz w:val="24"/>
          <w:szCs w:val="24"/>
        </w:rPr>
        <w:t xml:space="preserve"> </w:t>
      </w:r>
      <w:r w:rsidRPr="00BF43CD">
        <w:rPr>
          <w:b/>
          <w:i/>
          <w:sz w:val="24"/>
          <w:szCs w:val="24"/>
        </w:rPr>
        <w:t>information on pharmacovigilance concerns</w:t>
      </w:r>
      <w:r w:rsidRPr="00716F98">
        <w:rPr>
          <w:sz w:val="24"/>
          <w:szCs w:val="24"/>
        </w:rPr>
        <w:t xml:space="preserve"> relating to the use of medicinal products through the web-portals and possibly other means.</w:t>
      </w:r>
      <w:r w:rsidRPr="00716F98">
        <w:rPr>
          <w:sz w:val="24"/>
          <w:szCs w:val="24"/>
        </w:rPr>
        <w:tab/>
      </w:r>
      <w:r>
        <w:rPr>
          <w:sz w:val="24"/>
          <w:szCs w:val="24"/>
        </w:rPr>
        <w:t xml:space="preserve">It </w:t>
      </w:r>
      <w:r w:rsidR="00A73F0F">
        <w:rPr>
          <w:sz w:val="24"/>
          <w:szCs w:val="24"/>
        </w:rPr>
        <w:t xml:space="preserve">also requires </w:t>
      </w:r>
      <w:r w:rsidR="00EA07B3">
        <w:rPr>
          <w:sz w:val="24"/>
          <w:szCs w:val="24"/>
        </w:rPr>
        <w:t>that Member States establish</w:t>
      </w:r>
      <w:r w:rsidR="00626D3E">
        <w:rPr>
          <w:sz w:val="24"/>
          <w:szCs w:val="24"/>
        </w:rPr>
        <w:t xml:space="preserve"> </w:t>
      </w:r>
      <w:r w:rsidR="00EA07B3">
        <w:rPr>
          <w:sz w:val="24"/>
          <w:szCs w:val="24"/>
        </w:rPr>
        <w:t xml:space="preserve">a </w:t>
      </w:r>
      <w:r w:rsidRPr="00EA07B3">
        <w:rPr>
          <w:i/>
          <w:sz w:val="24"/>
          <w:szCs w:val="24"/>
        </w:rPr>
        <w:t>follow-up</w:t>
      </w:r>
      <w:r>
        <w:rPr>
          <w:sz w:val="24"/>
          <w:szCs w:val="24"/>
        </w:rPr>
        <w:t xml:space="preserve"> of suspected adverse reaction reports</w:t>
      </w:r>
      <w:r w:rsidR="00BF43CD">
        <w:rPr>
          <w:sz w:val="24"/>
          <w:szCs w:val="24"/>
        </w:rPr>
        <w:t>. I</w:t>
      </w:r>
      <w:r>
        <w:rPr>
          <w:sz w:val="24"/>
          <w:szCs w:val="24"/>
        </w:rPr>
        <w:t>t</w:t>
      </w:r>
      <w:r w:rsidR="00626D3E">
        <w:rPr>
          <w:sz w:val="24"/>
          <w:szCs w:val="24"/>
        </w:rPr>
        <w:t xml:space="preserve"> </w:t>
      </w:r>
      <w:r>
        <w:rPr>
          <w:sz w:val="24"/>
          <w:szCs w:val="24"/>
        </w:rPr>
        <w:t>is essential for the individual patient who reports an adverse reaction to have feedback and further information about the medicine that provoked the adverse reaction, as it can play a role for adherence</w:t>
      </w:r>
      <w:r w:rsidR="00626D3E">
        <w:rPr>
          <w:sz w:val="24"/>
          <w:szCs w:val="24"/>
        </w:rPr>
        <w:t xml:space="preserve"> </w:t>
      </w:r>
      <w:r>
        <w:rPr>
          <w:sz w:val="24"/>
          <w:szCs w:val="24"/>
        </w:rPr>
        <w:t xml:space="preserve">to their treatment, </w:t>
      </w:r>
      <w:r w:rsidR="00BF43CD">
        <w:rPr>
          <w:sz w:val="24"/>
          <w:szCs w:val="24"/>
        </w:rPr>
        <w:t xml:space="preserve">or the </w:t>
      </w:r>
      <w:r>
        <w:rPr>
          <w:sz w:val="24"/>
          <w:szCs w:val="24"/>
        </w:rPr>
        <w:t xml:space="preserve">choice for an alternative therapy. </w:t>
      </w:r>
      <w:r w:rsidR="00BF43CD">
        <w:rPr>
          <w:sz w:val="24"/>
          <w:szCs w:val="24"/>
        </w:rPr>
        <w:t xml:space="preserve">Low </w:t>
      </w:r>
      <w:r>
        <w:rPr>
          <w:sz w:val="24"/>
          <w:szCs w:val="24"/>
        </w:rPr>
        <w:t xml:space="preserve">adherence is another important </w:t>
      </w:r>
      <w:r w:rsidR="00BF43CD">
        <w:rPr>
          <w:sz w:val="24"/>
          <w:szCs w:val="24"/>
        </w:rPr>
        <w:t xml:space="preserve">public health </w:t>
      </w:r>
      <w:r>
        <w:rPr>
          <w:sz w:val="24"/>
          <w:szCs w:val="24"/>
        </w:rPr>
        <w:t>problem, and adverse drug reaction</w:t>
      </w:r>
      <w:r w:rsidR="00BF43CD">
        <w:rPr>
          <w:sz w:val="24"/>
          <w:szCs w:val="24"/>
        </w:rPr>
        <w:t>s</w:t>
      </w:r>
      <w:r>
        <w:rPr>
          <w:sz w:val="24"/>
          <w:szCs w:val="24"/>
        </w:rPr>
        <w:t xml:space="preserve"> may be a factor in this.</w:t>
      </w:r>
      <w:r w:rsidR="00BF43CD">
        <w:rPr>
          <w:rStyle w:val="FootnoteReference"/>
          <w:sz w:val="24"/>
          <w:szCs w:val="24"/>
        </w:rPr>
        <w:footnoteReference w:id="1"/>
      </w:r>
    </w:p>
    <w:p w:rsidR="008D4A94" w:rsidRDefault="008D4A94" w:rsidP="00543149">
      <w:pPr>
        <w:spacing w:after="0" w:line="240" w:lineRule="auto"/>
        <w:jc w:val="both"/>
        <w:rPr>
          <w:sz w:val="24"/>
          <w:szCs w:val="24"/>
        </w:rPr>
      </w:pPr>
    </w:p>
    <w:p w:rsidR="00BF43CD" w:rsidRDefault="00BF43CD" w:rsidP="00347BC9">
      <w:pPr>
        <w:spacing w:after="0" w:line="240" w:lineRule="auto"/>
        <w:jc w:val="center"/>
        <w:rPr>
          <w:b/>
          <w:sz w:val="24"/>
          <w:szCs w:val="24"/>
        </w:rPr>
      </w:pPr>
    </w:p>
    <w:p w:rsidR="008D4A94" w:rsidRPr="00BF43CD" w:rsidRDefault="00DB550C" w:rsidP="00BF43CD">
      <w:pPr>
        <w:spacing w:after="0"/>
        <w:jc w:val="center"/>
        <w:rPr>
          <w:rFonts w:cs="EUAlbertina"/>
          <w:b/>
          <w:color w:val="000000"/>
          <w:sz w:val="24"/>
          <w:szCs w:val="24"/>
        </w:rPr>
      </w:pPr>
      <w:r w:rsidRPr="00DB550C">
        <w:rPr>
          <w:noProof/>
          <w:lang w:val="en-IE" w:eastAsia="en-IE"/>
        </w:rPr>
        <w:pict>
          <v:rect id="_x0000_s1029" style="position:absolute;left:0;text-align:left;margin-left:-7.55pt;margin-top:-10.85pt;width:471.25pt;height:215.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" fillcolor="#0070c0" stroked="f" strokeweight="2pt">
            <v:fill opacity="6682f"/>
            <v:path arrowok="t"/>
          </v:rect>
        </w:pict>
      </w:r>
      <w:r w:rsidR="008D4A94" w:rsidRPr="00BF43CD">
        <w:rPr>
          <w:rFonts w:cs="EUAlbertina"/>
          <w:b/>
          <w:color w:val="000000"/>
          <w:sz w:val="24"/>
          <w:szCs w:val="24"/>
        </w:rPr>
        <w:t>Recommendations</w:t>
      </w:r>
    </w:p>
    <w:p w:rsidR="008D4A94" w:rsidRPr="00BF43CD" w:rsidRDefault="008D4A94" w:rsidP="00BF43CD">
      <w:pPr>
        <w:numPr>
          <w:ilvl w:val="0"/>
          <w:numId w:val="26"/>
        </w:numPr>
        <w:spacing w:after="160" w:line="240" w:lineRule="auto"/>
        <w:ind w:left="357" w:hanging="357"/>
        <w:jc w:val="both"/>
        <w:rPr>
          <w:sz w:val="24"/>
          <w:szCs w:val="24"/>
        </w:rPr>
      </w:pPr>
      <w:r w:rsidRPr="00BF43CD">
        <w:rPr>
          <w:rFonts w:cs="Calibri"/>
          <w:color w:val="000000"/>
          <w:sz w:val="24"/>
          <w:szCs w:val="24"/>
          <w:lang w:eastAsia="en-GB"/>
        </w:rPr>
        <w:t xml:space="preserve">We recommend that Member States establish systems of reporting which </w:t>
      </w:r>
      <w:r w:rsidRPr="00BF43CD">
        <w:rPr>
          <w:sz w:val="24"/>
          <w:szCs w:val="24"/>
        </w:rPr>
        <w:t xml:space="preserve">capture the </w:t>
      </w:r>
      <w:r w:rsidR="00A73F0F" w:rsidRPr="00BF43CD">
        <w:rPr>
          <w:sz w:val="24"/>
          <w:szCs w:val="24"/>
        </w:rPr>
        <w:t>richness and</w:t>
      </w:r>
      <w:r w:rsidRPr="00BF43CD">
        <w:rPr>
          <w:sz w:val="24"/>
          <w:szCs w:val="24"/>
        </w:rPr>
        <w:t xml:space="preserve"> added value of patient reports, in consultation with patient organisations</w:t>
      </w:r>
      <w:r w:rsidR="00BF43CD">
        <w:rPr>
          <w:sz w:val="24"/>
          <w:szCs w:val="24"/>
        </w:rPr>
        <w:t>.</w:t>
      </w:r>
      <w:r w:rsidRPr="00BF43CD">
        <w:rPr>
          <w:sz w:val="24"/>
          <w:szCs w:val="24"/>
        </w:rPr>
        <w:t xml:space="preserve"> Patient involvement in </w:t>
      </w:r>
      <w:r w:rsidR="00EA07B3" w:rsidRPr="00BF43CD">
        <w:rPr>
          <w:sz w:val="24"/>
          <w:szCs w:val="24"/>
        </w:rPr>
        <w:t xml:space="preserve">the </w:t>
      </w:r>
      <w:r w:rsidRPr="00BF43CD">
        <w:rPr>
          <w:sz w:val="24"/>
          <w:szCs w:val="24"/>
        </w:rPr>
        <w:t>setting</w:t>
      </w:r>
      <w:r w:rsidR="00BF43CD">
        <w:rPr>
          <w:sz w:val="24"/>
          <w:szCs w:val="24"/>
        </w:rPr>
        <w:t>-</w:t>
      </w:r>
      <w:r w:rsidRPr="00BF43CD">
        <w:rPr>
          <w:sz w:val="24"/>
          <w:szCs w:val="24"/>
        </w:rPr>
        <w:t xml:space="preserve">up and user testing </w:t>
      </w:r>
      <w:r w:rsidR="00EA07B3" w:rsidRPr="00BF43CD">
        <w:rPr>
          <w:sz w:val="24"/>
          <w:szCs w:val="24"/>
        </w:rPr>
        <w:t>of the reporting systems(</w:t>
      </w:r>
      <w:r w:rsidR="00BF43CD">
        <w:rPr>
          <w:sz w:val="24"/>
          <w:szCs w:val="24"/>
        </w:rPr>
        <w:t xml:space="preserve">both </w:t>
      </w:r>
      <w:r w:rsidR="00EA07B3" w:rsidRPr="00BF43CD">
        <w:rPr>
          <w:sz w:val="24"/>
          <w:szCs w:val="24"/>
        </w:rPr>
        <w:t>web</w:t>
      </w:r>
      <w:r w:rsidR="00BF43CD">
        <w:rPr>
          <w:sz w:val="24"/>
          <w:szCs w:val="24"/>
        </w:rPr>
        <w:t>-</w:t>
      </w:r>
      <w:r w:rsidRPr="00BF43CD">
        <w:rPr>
          <w:sz w:val="24"/>
          <w:szCs w:val="24"/>
        </w:rPr>
        <w:t>based and alternative format</w:t>
      </w:r>
      <w:r w:rsidR="00EA07B3" w:rsidRPr="00BF43CD">
        <w:rPr>
          <w:sz w:val="24"/>
          <w:szCs w:val="24"/>
        </w:rPr>
        <w:t>s)</w:t>
      </w:r>
      <w:r w:rsidRPr="00BF43CD">
        <w:rPr>
          <w:sz w:val="24"/>
          <w:szCs w:val="24"/>
        </w:rPr>
        <w:t xml:space="preserve"> will </w:t>
      </w:r>
      <w:r w:rsidR="00BF43CD">
        <w:rPr>
          <w:sz w:val="24"/>
          <w:szCs w:val="24"/>
        </w:rPr>
        <w:t xml:space="preserve">ensure the system </w:t>
      </w:r>
      <w:r w:rsidRPr="00BF43CD">
        <w:rPr>
          <w:sz w:val="24"/>
          <w:szCs w:val="24"/>
        </w:rPr>
        <w:t xml:space="preserve">is fit for purpose and user-friendly. </w:t>
      </w:r>
    </w:p>
    <w:p w:rsidR="008D4A94" w:rsidRPr="004D3701" w:rsidRDefault="008D4A94" w:rsidP="00BF43CD">
      <w:pPr>
        <w:numPr>
          <w:ilvl w:val="0"/>
          <w:numId w:val="26"/>
        </w:numPr>
        <w:spacing w:after="0" w:line="240" w:lineRule="auto"/>
        <w:jc w:val="both"/>
        <w:rPr>
          <w:rFonts w:cs="Calibri"/>
          <w:color w:val="000000"/>
          <w:sz w:val="24"/>
          <w:szCs w:val="24"/>
          <w:lang w:eastAsia="en-GB"/>
        </w:rPr>
      </w:pPr>
      <w:r w:rsidRPr="004D3701">
        <w:rPr>
          <w:sz w:val="24"/>
          <w:szCs w:val="24"/>
        </w:rPr>
        <w:t>We recommend that Member States put in place guidelines for the follow</w:t>
      </w:r>
      <w:r w:rsidR="00BF43CD">
        <w:rPr>
          <w:sz w:val="24"/>
          <w:szCs w:val="24"/>
        </w:rPr>
        <w:t>-</w:t>
      </w:r>
      <w:r w:rsidRPr="004D3701">
        <w:rPr>
          <w:sz w:val="24"/>
          <w:szCs w:val="24"/>
        </w:rPr>
        <w:t>up</w:t>
      </w:r>
      <w:r>
        <w:rPr>
          <w:sz w:val="24"/>
          <w:szCs w:val="24"/>
        </w:rPr>
        <w:t xml:space="preserve"> procedure</w:t>
      </w:r>
      <w:r w:rsidRPr="004D3701">
        <w:rPr>
          <w:sz w:val="24"/>
          <w:szCs w:val="24"/>
        </w:rPr>
        <w:t xml:space="preserve"> of reports</w:t>
      </w:r>
      <w:r w:rsidR="00BF43CD">
        <w:rPr>
          <w:sz w:val="24"/>
          <w:szCs w:val="24"/>
        </w:rPr>
        <w:t>, in consultation</w:t>
      </w:r>
      <w:r w:rsidRPr="004D3701">
        <w:rPr>
          <w:sz w:val="24"/>
          <w:szCs w:val="24"/>
        </w:rPr>
        <w:t xml:space="preserve"> with patient</w:t>
      </w:r>
      <w:r w:rsidR="00BF43CD">
        <w:rPr>
          <w:sz w:val="24"/>
          <w:szCs w:val="24"/>
        </w:rPr>
        <w:t>s’</w:t>
      </w:r>
      <w:r w:rsidR="00626D3E">
        <w:rPr>
          <w:sz w:val="24"/>
          <w:szCs w:val="24"/>
        </w:rPr>
        <w:t xml:space="preserve"> </w:t>
      </w:r>
      <w:r w:rsidR="00BF43CD">
        <w:rPr>
          <w:sz w:val="24"/>
          <w:szCs w:val="24"/>
        </w:rPr>
        <w:t xml:space="preserve">and health professionals’ </w:t>
      </w:r>
      <w:r w:rsidRPr="004D3701">
        <w:rPr>
          <w:sz w:val="24"/>
          <w:szCs w:val="24"/>
        </w:rPr>
        <w:t xml:space="preserve">organisations. This will </w:t>
      </w:r>
      <w:r w:rsidR="00BF43CD">
        <w:rPr>
          <w:sz w:val="24"/>
          <w:szCs w:val="24"/>
        </w:rPr>
        <w:t xml:space="preserve">enable the </w:t>
      </w:r>
      <w:r w:rsidRPr="004D3701">
        <w:rPr>
          <w:sz w:val="24"/>
          <w:szCs w:val="24"/>
        </w:rPr>
        <w:t>collect</w:t>
      </w:r>
      <w:r w:rsidR="00BF43CD">
        <w:rPr>
          <w:sz w:val="24"/>
          <w:szCs w:val="24"/>
        </w:rPr>
        <w:t>ion of</w:t>
      </w:r>
      <w:r w:rsidRPr="004D3701">
        <w:rPr>
          <w:sz w:val="24"/>
          <w:szCs w:val="24"/>
        </w:rPr>
        <w:t xml:space="preserve"> more </w:t>
      </w:r>
      <w:r w:rsidR="00BF43CD">
        <w:rPr>
          <w:sz w:val="24"/>
          <w:szCs w:val="24"/>
        </w:rPr>
        <w:t>high-</w:t>
      </w:r>
      <w:r w:rsidRPr="004D3701">
        <w:rPr>
          <w:sz w:val="24"/>
          <w:szCs w:val="24"/>
        </w:rPr>
        <w:t>quality data, to provide feedback (</w:t>
      </w:r>
      <w:r w:rsidR="00BF43CD">
        <w:rPr>
          <w:sz w:val="24"/>
          <w:szCs w:val="24"/>
        </w:rPr>
        <w:t xml:space="preserve">on </w:t>
      </w:r>
      <w:r w:rsidRPr="004D3701">
        <w:rPr>
          <w:sz w:val="24"/>
          <w:szCs w:val="24"/>
        </w:rPr>
        <w:t>how the information will be used, usefulness of the report</w:t>
      </w:r>
      <w:r w:rsidR="00BF43CD">
        <w:rPr>
          <w:sz w:val="24"/>
          <w:szCs w:val="24"/>
        </w:rPr>
        <w:t>s</w:t>
      </w:r>
      <w:r w:rsidRPr="004D3701">
        <w:rPr>
          <w:sz w:val="24"/>
          <w:szCs w:val="24"/>
        </w:rPr>
        <w:t>)</w:t>
      </w:r>
      <w:r w:rsidR="00BF43CD">
        <w:rPr>
          <w:sz w:val="24"/>
          <w:szCs w:val="24"/>
        </w:rPr>
        <w:t xml:space="preserve"> and </w:t>
      </w:r>
      <w:r w:rsidRPr="004D3701">
        <w:rPr>
          <w:sz w:val="24"/>
          <w:szCs w:val="24"/>
        </w:rPr>
        <w:t xml:space="preserve">also serve to provide patients with further information or indicate to them </w:t>
      </w:r>
      <w:r w:rsidR="00BF43CD">
        <w:rPr>
          <w:sz w:val="24"/>
          <w:szCs w:val="24"/>
        </w:rPr>
        <w:t xml:space="preserve">where it </w:t>
      </w:r>
      <w:r w:rsidRPr="004D3701">
        <w:rPr>
          <w:sz w:val="24"/>
          <w:szCs w:val="24"/>
        </w:rPr>
        <w:t>is available (</w:t>
      </w:r>
      <w:r w:rsidR="00A73F0F" w:rsidRPr="004D3701">
        <w:rPr>
          <w:sz w:val="24"/>
          <w:szCs w:val="24"/>
        </w:rPr>
        <w:t>e.g.</w:t>
      </w:r>
      <w:r w:rsidRPr="004D3701">
        <w:rPr>
          <w:sz w:val="24"/>
          <w:szCs w:val="24"/>
        </w:rPr>
        <w:t xml:space="preserve"> through </w:t>
      </w:r>
      <w:r w:rsidR="00BF43CD">
        <w:rPr>
          <w:sz w:val="24"/>
          <w:szCs w:val="24"/>
        </w:rPr>
        <w:t>the publicly accessible part</w:t>
      </w:r>
      <w:r w:rsidR="00CE1786">
        <w:rPr>
          <w:sz w:val="24"/>
          <w:szCs w:val="24"/>
        </w:rPr>
        <w:t xml:space="preserve"> </w:t>
      </w:r>
      <w:r w:rsidR="00BF43CD">
        <w:rPr>
          <w:sz w:val="24"/>
          <w:szCs w:val="24"/>
        </w:rPr>
        <w:t xml:space="preserve">of the </w:t>
      </w:r>
      <w:r w:rsidR="00A73F0F" w:rsidRPr="004D3701">
        <w:rPr>
          <w:sz w:val="24"/>
          <w:szCs w:val="24"/>
        </w:rPr>
        <w:t>EudraVigilance</w:t>
      </w:r>
      <w:r w:rsidR="00BF43CD">
        <w:rPr>
          <w:sz w:val="24"/>
          <w:szCs w:val="24"/>
        </w:rPr>
        <w:t xml:space="preserve"> database</w:t>
      </w:r>
      <w:r w:rsidRPr="004D3701">
        <w:rPr>
          <w:sz w:val="24"/>
          <w:szCs w:val="24"/>
        </w:rPr>
        <w:t>).</w:t>
      </w:r>
    </w:p>
    <w:p w:rsidR="008D4A94" w:rsidRPr="004D3701" w:rsidRDefault="008D4A94" w:rsidP="00543149">
      <w:pPr>
        <w:spacing w:after="0" w:line="240" w:lineRule="auto"/>
        <w:jc w:val="both"/>
        <w:rPr>
          <w:sz w:val="24"/>
          <w:szCs w:val="24"/>
        </w:rPr>
      </w:pPr>
    </w:p>
    <w:p w:rsidR="008D4A94" w:rsidRPr="004D3701" w:rsidRDefault="008D4A94" w:rsidP="004B389A">
      <w:pPr>
        <w:pBdr>
          <w:bottom w:val="single" w:sz="4" w:space="1" w:color="auto"/>
        </w:pBdr>
        <w:spacing w:line="240" w:lineRule="auto"/>
        <w:jc w:val="center"/>
        <w:rPr>
          <w:b/>
          <w:sz w:val="24"/>
          <w:szCs w:val="24"/>
        </w:rPr>
      </w:pPr>
    </w:p>
    <w:p w:rsidR="008D4A94" w:rsidRPr="004D3701" w:rsidRDefault="008D4A94" w:rsidP="004B389A">
      <w:pPr>
        <w:pBdr>
          <w:bottom w:val="single" w:sz="4" w:space="1" w:color="auto"/>
        </w:pBdr>
        <w:spacing w:line="240" w:lineRule="auto"/>
        <w:jc w:val="center"/>
        <w:rPr>
          <w:b/>
          <w:sz w:val="24"/>
          <w:szCs w:val="24"/>
        </w:rPr>
      </w:pPr>
      <w:r w:rsidRPr="004D3701">
        <w:rPr>
          <w:b/>
          <w:sz w:val="24"/>
          <w:szCs w:val="24"/>
        </w:rPr>
        <w:t>Pharmacovigilance: Transparency and communication</w:t>
      </w:r>
    </w:p>
    <w:p w:rsidR="008D4A94" w:rsidRPr="004D3701" w:rsidRDefault="008D4A94" w:rsidP="00BF43CD">
      <w:pPr>
        <w:pStyle w:val="Default"/>
        <w:jc w:val="both"/>
      </w:pPr>
      <w:r w:rsidRPr="004D3701">
        <w:t>Chapter 2 of title IX contains crucial provisions from the patients’ perspective</w:t>
      </w:r>
      <w:r w:rsidR="00BF43CD">
        <w:t xml:space="preserve"> concerning </w:t>
      </w:r>
      <w:r w:rsidRPr="004D3701">
        <w:t>transparency and communications regarding medicines and pharmacovigilance</w:t>
      </w:r>
      <w:r w:rsidR="00BF43CD">
        <w:t>,</w:t>
      </w:r>
      <w:r w:rsidRPr="004D3701">
        <w:t xml:space="preserve"> including through establishing a national </w:t>
      </w:r>
      <w:r w:rsidR="00BF43CD">
        <w:t xml:space="preserve">medicines </w:t>
      </w:r>
      <w:r w:rsidRPr="004D3701">
        <w:t>web</w:t>
      </w:r>
      <w:r w:rsidR="00BF43CD">
        <w:t>-</w:t>
      </w:r>
      <w:r w:rsidRPr="004D3701">
        <w:t>portal.</w:t>
      </w:r>
    </w:p>
    <w:p w:rsidR="008D4A94" w:rsidRDefault="008D4A94" w:rsidP="008A19B2">
      <w:pPr>
        <w:pStyle w:val="Default"/>
        <w:jc w:val="both"/>
      </w:pPr>
    </w:p>
    <w:p w:rsidR="008D4A94" w:rsidRDefault="008D4A94" w:rsidP="0002301F">
      <w:pPr>
        <w:pStyle w:val="Default"/>
        <w:pBdr>
          <w:bottom w:val="single" w:sz="6" w:space="1" w:color="auto"/>
        </w:pBdr>
        <w:jc w:val="center"/>
        <w:rPr>
          <w:b/>
        </w:rPr>
      </w:pPr>
      <w:r>
        <w:rPr>
          <w:b/>
        </w:rPr>
        <w:t>Article 106</w:t>
      </w:r>
    </w:p>
    <w:p w:rsidR="008D4A94" w:rsidRPr="004D3701" w:rsidRDefault="008D4A94" w:rsidP="004041A4">
      <w:pPr>
        <w:spacing w:after="80" w:line="240" w:lineRule="auto"/>
        <w:jc w:val="both"/>
        <w:rPr>
          <w:rFonts w:cs="Calibri"/>
          <w:color w:val="000000"/>
          <w:sz w:val="24"/>
          <w:szCs w:val="24"/>
        </w:rPr>
      </w:pPr>
      <w:r w:rsidRPr="004D3701">
        <w:rPr>
          <w:rFonts w:cs="Calibri"/>
          <w:color w:val="000000"/>
          <w:sz w:val="24"/>
          <w:szCs w:val="24"/>
        </w:rPr>
        <w:t>The following information has to be made available through a national web</w:t>
      </w:r>
      <w:r w:rsidR="00BF43CD">
        <w:rPr>
          <w:rFonts w:cs="Calibri"/>
          <w:color w:val="000000"/>
          <w:sz w:val="24"/>
          <w:szCs w:val="24"/>
        </w:rPr>
        <w:t>-</w:t>
      </w:r>
      <w:r w:rsidRPr="004D3701">
        <w:rPr>
          <w:rFonts w:cs="Calibri"/>
          <w:color w:val="000000"/>
          <w:sz w:val="24"/>
          <w:szCs w:val="24"/>
        </w:rPr>
        <w:t>portal</w:t>
      </w:r>
      <w:r w:rsidR="00BF43CD">
        <w:rPr>
          <w:rFonts w:cs="Calibri"/>
          <w:color w:val="000000"/>
          <w:sz w:val="24"/>
          <w:szCs w:val="24"/>
        </w:rPr>
        <w:t>,</w:t>
      </w:r>
      <w:r w:rsidRPr="004D3701">
        <w:rPr>
          <w:rFonts w:cs="Calibri"/>
          <w:color w:val="000000"/>
          <w:sz w:val="24"/>
          <w:szCs w:val="24"/>
        </w:rPr>
        <w:t xml:space="preserve"> at a minimum: </w:t>
      </w:r>
    </w:p>
    <w:p w:rsidR="008D4A94" w:rsidRPr="004D3701" w:rsidRDefault="008D4A94" w:rsidP="004041A4">
      <w:pPr>
        <w:pStyle w:val="ListParagraph"/>
        <w:numPr>
          <w:ilvl w:val="0"/>
          <w:numId w:val="21"/>
        </w:numPr>
        <w:spacing w:after="0" w:line="240" w:lineRule="auto"/>
        <w:rPr>
          <w:rFonts w:cs="Calibri"/>
          <w:sz w:val="24"/>
          <w:szCs w:val="24"/>
          <w:lang w:eastAsia="nl-BE"/>
        </w:rPr>
      </w:pPr>
      <w:r w:rsidRPr="004D3701">
        <w:rPr>
          <w:rFonts w:cs="Calibri"/>
          <w:sz w:val="24"/>
          <w:szCs w:val="24"/>
          <w:lang w:eastAsia="nl-BE"/>
        </w:rPr>
        <w:t xml:space="preserve">Publicly available versions of the assessment reports with their summaries </w:t>
      </w:r>
    </w:p>
    <w:p w:rsidR="008D4A94" w:rsidRPr="004D3701" w:rsidRDefault="008D4A94" w:rsidP="004041A4">
      <w:pPr>
        <w:pStyle w:val="ListParagraph"/>
        <w:numPr>
          <w:ilvl w:val="0"/>
          <w:numId w:val="21"/>
        </w:numPr>
        <w:spacing w:after="0" w:line="240" w:lineRule="auto"/>
        <w:rPr>
          <w:rFonts w:cs="Calibri"/>
          <w:sz w:val="24"/>
          <w:szCs w:val="24"/>
          <w:lang w:val="nl-BE" w:eastAsia="nl-BE"/>
        </w:rPr>
      </w:pPr>
      <w:r w:rsidRPr="004D3701">
        <w:rPr>
          <w:rFonts w:cs="Calibri"/>
          <w:sz w:val="24"/>
          <w:szCs w:val="24"/>
          <w:lang w:val="nl-BE" w:eastAsia="nl-BE"/>
        </w:rPr>
        <w:t>Summaries of product characteristics</w:t>
      </w:r>
    </w:p>
    <w:p w:rsidR="008D4A94" w:rsidRPr="004D3701" w:rsidRDefault="008D4A94" w:rsidP="004041A4">
      <w:pPr>
        <w:pStyle w:val="ListParagraph"/>
        <w:numPr>
          <w:ilvl w:val="0"/>
          <w:numId w:val="21"/>
        </w:numPr>
        <w:spacing w:after="0" w:line="240" w:lineRule="auto"/>
        <w:rPr>
          <w:rFonts w:cs="Calibri"/>
          <w:sz w:val="24"/>
          <w:szCs w:val="24"/>
          <w:lang w:val="nl-BE" w:eastAsia="nl-BE"/>
        </w:rPr>
      </w:pPr>
      <w:r w:rsidRPr="004D3701">
        <w:rPr>
          <w:rFonts w:cs="Calibri"/>
          <w:sz w:val="24"/>
          <w:szCs w:val="24"/>
          <w:lang w:val="nl-BE" w:eastAsia="nl-BE"/>
        </w:rPr>
        <w:t xml:space="preserve">Package leaflets </w:t>
      </w:r>
    </w:p>
    <w:p w:rsidR="008D4A94" w:rsidRPr="004D3701" w:rsidRDefault="008D4A94" w:rsidP="004041A4">
      <w:pPr>
        <w:pStyle w:val="ListParagraph"/>
        <w:numPr>
          <w:ilvl w:val="0"/>
          <w:numId w:val="21"/>
        </w:numPr>
        <w:spacing w:after="0" w:line="240" w:lineRule="auto"/>
        <w:rPr>
          <w:rFonts w:cs="Calibri"/>
          <w:sz w:val="24"/>
          <w:szCs w:val="24"/>
          <w:lang w:eastAsia="nl-BE"/>
        </w:rPr>
      </w:pPr>
      <w:r w:rsidRPr="004D3701">
        <w:rPr>
          <w:rFonts w:cs="Calibri"/>
          <w:sz w:val="24"/>
          <w:szCs w:val="24"/>
          <w:lang w:eastAsia="nl-BE"/>
        </w:rPr>
        <w:t xml:space="preserve">Summaries of the risk management plans for authorised medicinal products </w:t>
      </w:r>
    </w:p>
    <w:p w:rsidR="008D4A94" w:rsidRPr="004D3701" w:rsidRDefault="008D4A94" w:rsidP="004041A4">
      <w:pPr>
        <w:pStyle w:val="ListParagraph"/>
        <w:numPr>
          <w:ilvl w:val="0"/>
          <w:numId w:val="21"/>
        </w:numPr>
        <w:spacing w:after="0" w:line="240" w:lineRule="auto"/>
        <w:rPr>
          <w:rFonts w:cs="Calibri"/>
          <w:sz w:val="24"/>
          <w:szCs w:val="24"/>
          <w:lang w:eastAsia="nl-BE"/>
        </w:rPr>
      </w:pPr>
      <w:r w:rsidRPr="004D3701">
        <w:rPr>
          <w:rFonts w:cs="Calibri"/>
          <w:sz w:val="24"/>
          <w:szCs w:val="24"/>
          <w:lang w:eastAsia="nl-BE"/>
        </w:rPr>
        <w:t xml:space="preserve">The list of medicinal products that are subject to additional monitoring </w:t>
      </w:r>
    </w:p>
    <w:p w:rsidR="008D4A94" w:rsidRPr="004D3701" w:rsidRDefault="008D4A94" w:rsidP="00177130">
      <w:pPr>
        <w:pStyle w:val="ListParagraph"/>
        <w:numPr>
          <w:ilvl w:val="0"/>
          <w:numId w:val="21"/>
        </w:numPr>
        <w:spacing w:after="0" w:line="240" w:lineRule="auto"/>
        <w:rPr>
          <w:rFonts w:cs="Calibri"/>
          <w:color w:val="000000"/>
          <w:sz w:val="24"/>
          <w:szCs w:val="24"/>
          <w:lang w:eastAsia="nl-BE"/>
        </w:rPr>
      </w:pPr>
      <w:r w:rsidRPr="004D3701">
        <w:rPr>
          <w:sz w:val="24"/>
          <w:szCs w:val="24"/>
          <w:lang w:eastAsia="nl-BE"/>
        </w:rPr>
        <w:t xml:space="preserve">Information on the different ways of reporting suspected adverse reactions to the national competent authorities by healthcare professionals and patients </w:t>
      </w:r>
    </w:p>
    <w:p w:rsidR="008D4A94" w:rsidRPr="004D3701" w:rsidRDefault="008D4A94" w:rsidP="008A19B2">
      <w:pPr>
        <w:pStyle w:val="Default"/>
        <w:jc w:val="both"/>
      </w:pPr>
    </w:p>
    <w:p w:rsidR="008D4A94" w:rsidRPr="004D3701" w:rsidRDefault="008D4A94" w:rsidP="004D3701">
      <w:pPr>
        <w:spacing w:line="240" w:lineRule="auto"/>
        <w:jc w:val="both"/>
        <w:rPr>
          <w:rFonts w:cs="Calibri"/>
          <w:sz w:val="24"/>
          <w:szCs w:val="24"/>
        </w:rPr>
      </w:pPr>
      <w:r w:rsidRPr="004D3701">
        <w:rPr>
          <w:sz w:val="24"/>
          <w:szCs w:val="24"/>
        </w:rPr>
        <w:t xml:space="preserve">The active involvement of patient organisations </w:t>
      </w:r>
      <w:r w:rsidR="001C61FC">
        <w:rPr>
          <w:sz w:val="24"/>
          <w:szCs w:val="24"/>
        </w:rPr>
        <w:t xml:space="preserve">can </w:t>
      </w:r>
      <w:r w:rsidRPr="004D3701">
        <w:rPr>
          <w:sz w:val="24"/>
          <w:szCs w:val="24"/>
        </w:rPr>
        <w:t>ensure the information provided is comprehensive, relevant, meets the real-life needs of patients, and is presented in an understandable, accessible format. High</w:t>
      </w:r>
      <w:r w:rsidR="001C61FC">
        <w:rPr>
          <w:sz w:val="24"/>
          <w:szCs w:val="24"/>
        </w:rPr>
        <w:t>-</w:t>
      </w:r>
      <w:r w:rsidRPr="004D3701">
        <w:rPr>
          <w:sz w:val="24"/>
          <w:szCs w:val="24"/>
        </w:rPr>
        <w:t xml:space="preserve">quality information will empower patients to play their role in the pharmacovigilance system, for </w:t>
      </w:r>
      <w:r w:rsidR="001C61FC">
        <w:rPr>
          <w:sz w:val="24"/>
          <w:szCs w:val="24"/>
        </w:rPr>
        <w:t xml:space="preserve">better </w:t>
      </w:r>
      <w:r w:rsidRPr="004D3701">
        <w:rPr>
          <w:sz w:val="24"/>
          <w:szCs w:val="24"/>
        </w:rPr>
        <w:t>patient safety and high quality of care.</w:t>
      </w:r>
    </w:p>
    <w:p w:rsidR="008D4A94" w:rsidRPr="004D3701" w:rsidRDefault="001C61FC" w:rsidP="004D3701">
      <w:pPr>
        <w:spacing w:line="240" w:lineRule="auto"/>
        <w:jc w:val="both"/>
        <w:rPr>
          <w:rFonts w:cs="Calibri"/>
          <w:sz w:val="24"/>
          <w:szCs w:val="24"/>
        </w:rPr>
      </w:pPr>
      <w:r>
        <w:rPr>
          <w:sz w:val="24"/>
          <w:szCs w:val="24"/>
        </w:rPr>
        <w:t xml:space="preserve">Furthermore, a </w:t>
      </w:r>
      <w:r w:rsidR="008D4A94" w:rsidRPr="004D3701">
        <w:rPr>
          <w:sz w:val="24"/>
          <w:szCs w:val="24"/>
        </w:rPr>
        <w:t>successful imp</w:t>
      </w:r>
      <w:r w:rsidR="00A73F0F">
        <w:rPr>
          <w:sz w:val="24"/>
          <w:szCs w:val="24"/>
        </w:rPr>
        <w:t xml:space="preserve">lementation of the new rules will depend </w:t>
      </w:r>
      <w:r w:rsidR="008D4A94" w:rsidRPr="004D3701">
        <w:rPr>
          <w:sz w:val="24"/>
          <w:szCs w:val="24"/>
        </w:rPr>
        <w:t>upon effective dissemination of information to patient communities about</w:t>
      </w:r>
      <w:r>
        <w:rPr>
          <w:sz w:val="24"/>
          <w:szCs w:val="24"/>
        </w:rPr>
        <w:t>:</w:t>
      </w:r>
      <w:r w:rsidR="008D4A94" w:rsidRPr="004D3701">
        <w:rPr>
          <w:sz w:val="24"/>
          <w:szCs w:val="24"/>
        </w:rPr>
        <w:t xml:space="preserve"> what pharmacovigilance is; how the new rules will improve medicines safety; why it is important that patients report suspected adverse reactions; and what avenues are available to do it. </w:t>
      </w:r>
      <w:r w:rsidR="00A73F0F">
        <w:rPr>
          <w:sz w:val="24"/>
          <w:szCs w:val="24"/>
        </w:rPr>
        <w:t xml:space="preserve">This will </w:t>
      </w:r>
      <w:r w:rsidR="00EA07B3">
        <w:rPr>
          <w:sz w:val="24"/>
          <w:szCs w:val="24"/>
        </w:rPr>
        <w:t xml:space="preserve">help to </w:t>
      </w:r>
      <w:r w:rsidR="00A73F0F">
        <w:rPr>
          <w:sz w:val="24"/>
          <w:szCs w:val="24"/>
        </w:rPr>
        <w:t>ensure that the pharmacovigilance system</w:t>
      </w:r>
      <w:r w:rsidR="00A73F0F" w:rsidRPr="004D3701">
        <w:rPr>
          <w:sz w:val="24"/>
          <w:szCs w:val="24"/>
        </w:rPr>
        <w:t xml:space="preserve"> fully benefits from the added-value of patient re</w:t>
      </w:r>
      <w:r w:rsidR="00A73F0F">
        <w:rPr>
          <w:sz w:val="24"/>
          <w:szCs w:val="24"/>
        </w:rPr>
        <w:t>porting and patients’ expertise.</w:t>
      </w:r>
    </w:p>
    <w:p w:rsidR="008D4A94" w:rsidRPr="004D3701" w:rsidRDefault="001C61FC" w:rsidP="0010787B">
      <w:pPr>
        <w:pStyle w:val="Default"/>
        <w:jc w:val="both"/>
      </w:pPr>
      <w:r>
        <w:t>While information campaigns can raise awareness in the short term, p</w:t>
      </w:r>
      <w:r w:rsidR="008D4A94" w:rsidRPr="004D3701">
        <w:t xml:space="preserve">atient organisations play a key role </w:t>
      </w:r>
      <w:r>
        <w:t xml:space="preserve">in </w:t>
      </w:r>
      <w:r w:rsidR="008D4A94" w:rsidRPr="004D3701">
        <w:t xml:space="preserve">supporting patient awareness in the long term, as they are in regular and close contact with grass-roots patient communities. </w:t>
      </w:r>
    </w:p>
    <w:p w:rsidR="008D4A94" w:rsidRPr="00177130" w:rsidRDefault="008D4A94" w:rsidP="005A4F00">
      <w:pPr>
        <w:pStyle w:val="Default"/>
        <w:jc w:val="both"/>
      </w:pPr>
    </w:p>
    <w:p w:rsidR="008D4A94" w:rsidRPr="00A73F0F" w:rsidRDefault="00DB550C" w:rsidP="00937950">
      <w:pPr>
        <w:pStyle w:val="Default"/>
        <w:spacing w:after="80"/>
        <w:jc w:val="center"/>
        <w:rPr>
          <w:b/>
        </w:rPr>
      </w:pPr>
      <w:r w:rsidRPr="00DB550C">
        <w:rPr>
          <w:noProof/>
          <w:lang w:val="en-IE" w:eastAsia="en-IE"/>
        </w:rPr>
        <w:pict>
          <v:rect id="Rectangle 31" o:spid="_x0000_s1028" style="position:absolute;left:0;text-align:left;margin-left:-11.5pt;margin-top:-10.85pt;width:475.85pt;height:231.8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" fillcolor="#0070c0" stroked="f" strokeweight="2pt">
            <v:fill opacity="6682f"/>
            <v:path arrowok="t"/>
          </v:rect>
        </w:pict>
      </w:r>
      <w:r w:rsidR="008D4A94" w:rsidRPr="00A73F0F">
        <w:rPr>
          <w:b/>
        </w:rPr>
        <w:t>Recommendations</w:t>
      </w:r>
    </w:p>
    <w:p w:rsidR="008D4A94" w:rsidRDefault="008D4A94" w:rsidP="001C61FC">
      <w:pPr>
        <w:pStyle w:val="Default"/>
        <w:numPr>
          <w:ilvl w:val="0"/>
          <w:numId w:val="23"/>
        </w:numPr>
        <w:spacing w:after="160"/>
        <w:jc w:val="both"/>
      </w:pPr>
      <w:r>
        <w:t xml:space="preserve">We strongly recommend that Member States consult </w:t>
      </w:r>
      <w:r w:rsidR="00EA07B3" w:rsidRPr="00A73F0F">
        <w:rPr>
          <w:i/>
        </w:rPr>
        <w:t xml:space="preserve">on regular basis </w:t>
      </w:r>
      <w:r w:rsidR="00EA07B3" w:rsidRPr="001C61FC">
        <w:t>patient organisations</w:t>
      </w:r>
      <w:r>
        <w:t xml:space="preserve"> in the setting</w:t>
      </w:r>
      <w:r w:rsidR="001C61FC">
        <w:t>-</w:t>
      </w:r>
      <w:r>
        <w:t>up and development of the national web</w:t>
      </w:r>
      <w:r w:rsidR="001C61FC">
        <w:t>-</w:t>
      </w:r>
      <w:r>
        <w:t>portals on medicines</w:t>
      </w:r>
      <w:r w:rsidR="001C61FC">
        <w:t>,</w:t>
      </w:r>
      <w:r>
        <w:t xml:space="preserve"> to ensure that information is patient friendly and corresponds to the needs of users.</w:t>
      </w:r>
    </w:p>
    <w:p w:rsidR="008D4A94" w:rsidRDefault="008D4A94" w:rsidP="001C61FC">
      <w:pPr>
        <w:pStyle w:val="Default"/>
        <w:numPr>
          <w:ilvl w:val="0"/>
          <w:numId w:val="23"/>
        </w:numPr>
        <w:spacing w:after="160"/>
        <w:jc w:val="both"/>
      </w:pPr>
      <w:r>
        <w:t xml:space="preserve">We recommend </w:t>
      </w:r>
      <w:r w:rsidR="001C61FC">
        <w:t xml:space="preserve">that </w:t>
      </w:r>
      <w:r>
        <w:t xml:space="preserve">national authorities to organise </w:t>
      </w:r>
      <w:r w:rsidRPr="00A73F0F">
        <w:rPr>
          <w:i/>
        </w:rPr>
        <w:t>joint campaigns</w:t>
      </w:r>
      <w:r>
        <w:t xml:space="preserve"> with patients’ organisations to raise awareness in the patient community </w:t>
      </w:r>
      <w:r w:rsidR="001C61FC">
        <w:t xml:space="preserve">and among the general public </w:t>
      </w:r>
      <w:r>
        <w:t xml:space="preserve">about </w:t>
      </w:r>
      <w:r w:rsidR="001C61FC">
        <w:t xml:space="preserve">the </w:t>
      </w:r>
      <w:r>
        <w:t>pharmacovigilance rules</w:t>
      </w:r>
      <w:r w:rsidR="00626D3E">
        <w:t xml:space="preserve"> </w:t>
      </w:r>
      <w:r>
        <w:t>and reporting</w:t>
      </w:r>
      <w:r w:rsidR="001C61FC">
        <w:t xml:space="preserve"> of adverse events.</w:t>
      </w:r>
    </w:p>
    <w:p w:rsidR="008D4A94" w:rsidRDefault="008D4A94" w:rsidP="001C61FC">
      <w:pPr>
        <w:pStyle w:val="Default"/>
        <w:numPr>
          <w:ilvl w:val="0"/>
          <w:numId w:val="23"/>
        </w:numPr>
        <w:spacing w:after="160"/>
        <w:jc w:val="both"/>
      </w:pPr>
      <w:r>
        <w:t xml:space="preserve">We recommend </w:t>
      </w:r>
      <w:r w:rsidR="001C61FC">
        <w:t xml:space="preserve">that </w:t>
      </w:r>
      <w:r>
        <w:t xml:space="preserve">Member States and </w:t>
      </w:r>
      <w:r w:rsidR="001C61FC">
        <w:t xml:space="preserve">NCAs </w:t>
      </w:r>
      <w:r>
        <w:t>cooperate with patient</w:t>
      </w:r>
      <w:r w:rsidR="001C61FC">
        <w:t>s’ and health professionals’</w:t>
      </w:r>
      <w:r>
        <w:t xml:space="preserve"> organisations on a regular basis to raise awareness </w:t>
      </w:r>
      <w:r w:rsidR="001C61FC">
        <w:t xml:space="preserve">in </w:t>
      </w:r>
      <w:r>
        <w:t>the long term about pharmacovigilance,</w:t>
      </w:r>
      <w:r w:rsidR="00A73F0F">
        <w:t xml:space="preserve"> and set up</w:t>
      </w:r>
      <w:r>
        <w:t xml:space="preserve"> appropriate </w:t>
      </w:r>
      <w:r w:rsidR="00A73F0F">
        <w:t>training and</w:t>
      </w:r>
      <w:r w:rsidR="00626D3E">
        <w:t xml:space="preserve"> </w:t>
      </w:r>
      <w:r w:rsidR="001C61FC">
        <w:t xml:space="preserve">capacity-building </w:t>
      </w:r>
      <w:r>
        <w:t>initiatives for both patients and healthcare professionals.</w:t>
      </w:r>
      <w:r w:rsidR="001C61FC">
        <w:t xml:space="preserve"> (See also Article 11, recommendation 3 above.)</w:t>
      </w:r>
    </w:p>
    <w:p w:rsidR="008D4A94" w:rsidRDefault="008D4A94" w:rsidP="00EA07B3">
      <w:pPr>
        <w:pStyle w:val="Style1"/>
        <w:pBdr>
          <w:bottom w:val="none" w:sz="0" w:space="0" w:color="auto"/>
        </w:pBdr>
        <w:jc w:val="left"/>
      </w:pPr>
    </w:p>
    <w:p w:rsidR="008D4A94" w:rsidRPr="004D3701" w:rsidRDefault="008D4A94" w:rsidP="00AD408B">
      <w:pPr>
        <w:pStyle w:val="Style1"/>
      </w:pPr>
      <w:r w:rsidRPr="004D3701">
        <w:t>Urgent Union Procedure</w:t>
      </w:r>
      <w:r w:rsidR="00347BC9">
        <w:t>s</w:t>
      </w:r>
    </w:p>
    <w:p w:rsidR="00843307" w:rsidRPr="00843307" w:rsidRDefault="008D4A94" w:rsidP="00F92952">
      <w:pPr>
        <w:pStyle w:val="Style1"/>
        <w:pBdr>
          <w:bottom w:val="none" w:sz="0" w:space="0" w:color="auto"/>
        </w:pBdr>
        <w:jc w:val="both"/>
        <w:rPr>
          <w:b w:val="0"/>
        </w:rPr>
      </w:pPr>
      <w:r w:rsidRPr="00843307">
        <w:rPr>
          <w:b w:val="0"/>
        </w:rPr>
        <w:t xml:space="preserve">Section 4 of Chapter 3 of the Pharmacovigilance </w:t>
      </w:r>
      <w:r w:rsidR="006B4D4F">
        <w:rPr>
          <w:b w:val="0"/>
        </w:rPr>
        <w:t>title [A</w:t>
      </w:r>
      <w:r w:rsidR="00A73F0F" w:rsidRPr="00843307">
        <w:rPr>
          <w:b w:val="0"/>
        </w:rPr>
        <w:t>rticle 107i</w:t>
      </w:r>
      <w:r w:rsidR="006B4D4F">
        <w:rPr>
          <w:b w:val="0"/>
        </w:rPr>
        <w:t xml:space="preserve"> to k]</w:t>
      </w:r>
      <w:r w:rsidRPr="00843307">
        <w:rPr>
          <w:b w:val="0"/>
        </w:rPr>
        <w:t xml:space="preserve"> establishes the procedure for </w:t>
      </w:r>
      <w:r w:rsidRPr="001C61FC">
        <w:rPr>
          <w:b w:val="0"/>
          <w:i/>
        </w:rPr>
        <w:t>urgent actions</w:t>
      </w:r>
      <w:r w:rsidRPr="00843307">
        <w:rPr>
          <w:b w:val="0"/>
        </w:rPr>
        <w:t xml:space="preserve"> by Member States concerning the change or suspension of a marketing authorisation for a product,</w:t>
      </w:r>
      <w:r w:rsidR="00843307">
        <w:rPr>
          <w:b w:val="0"/>
        </w:rPr>
        <w:t xml:space="preserve"> the coordination of the announcement</w:t>
      </w:r>
      <w:r w:rsidR="00A73F0F">
        <w:rPr>
          <w:b w:val="0"/>
        </w:rPr>
        <w:t xml:space="preserve">, </w:t>
      </w:r>
      <w:r w:rsidR="00A73F0F" w:rsidRPr="00843307">
        <w:rPr>
          <w:b w:val="0"/>
        </w:rPr>
        <w:t>and</w:t>
      </w:r>
      <w:r w:rsidRPr="00843307">
        <w:rPr>
          <w:b w:val="0"/>
        </w:rPr>
        <w:t xml:space="preserve"> the verification procedure for the safety concerns that led to taking these actions.</w:t>
      </w:r>
    </w:p>
    <w:p w:rsidR="00A73F0F" w:rsidRDefault="00DB550C" w:rsidP="00F92952">
      <w:pPr>
        <w:pStyle w:val="Style1"/>
        <w:pBdr>
          <w:bottom w:val="none" w:sz="0" w:space="0" w:color="auto"/>
        </w:pBdr>
        <w:spacing w:after="120"/>
        <w:ind w:left="357"/>
        <w:rPr>
          <w:b w:val="0"/>
        </w:rPr>
      </w:pPr>
      <w:r w:rsidRPr="00DB550C">
        <w:rPr>
          <w:b w:val="0"/>
          <w:noProof/>
          <w:lang w:val="en-IE" w:eastAsia="en-IE"/>
        </w:rPr>
        <w:pict>
          <v:rect id="_x0000_s1027" style="position:absolute;left:0;text-align:left;margin-left:-5.2pt;margin-top:-.15pt;width:469.55pt;height:121.0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" fillcolor="#0070c0" stroked="f" strokeweight="2pt">
            <v:fill opacity="6682f"/>
            <v:path arrowok="t"/>
          </v:rect>
        </w:pict>
      </w:r>
      <w:r w:rsidR="00A73F0F" w:rsidRPr="00A73F0F">
        <w:t>Recommendations</w:t>
      </w:r>
    </w:p>
    <w:p w:rsidR="00856AB4" w:rsidRPr="001D2E9E" w:rsidRDefault="008D4A94" w:rsidP="00856AB4">
      <w:pPr>
        <w:pStyle w:val="Style1"/>
        <w:numPr>
          <w:ilvl w:val="0"/>
          <w:numId w:val="24"/>
        </w:numPr>
        <w:pBdr>
          <w:bottom w:val="none" w:sz="0" w:space="0" w:color="auto"/>
        </w:pBdr>
        <w:jc w:val="both"/>
        <w:rPr>
          <w:b w:val="0"/>
        </w:rPr>
      </w:pPr>
      <w:r w:rsidRPr="00843307">
        <w:rPr>
          <w:b w:val="0"/>
        </w:rPr>
        <w:t>We recommend that Member States involve patient organisations as appropriate to provide the right message</w:t>
      </w:r>
      <w:r w:rsidR="00F92952">
        <w:rPr>
          <w:b w:val="0"/>
        </w:rPr>
        <w:t>s</w:t>
      </w:r>
      <w:r w:rsidRPr="00843307">
        <w:rPr>
          <w:b w:val="0"/>
        </w:rPr>
        <w:t xml:space="preserve"> and advice </w:t>
      </w:r>
      <w:r w:rsidR="00F92952">
        <w:rPr>
          <w:b w:val="0"/>
        </w:rPr>
        <w:t>in case of urgent safety measures such as suspensions or recalls</w:t>
      </w:r>
      <w:r w:rsidRPr="00843307">
        <w:rPr>
          <w:b w:val="0"/>
        </w:rPr>
        <w:t xml:space="preserve">. </w:t>
      </w:r>
      <w:r w:rsidR="00F92952">
        <w:rPr>
          <w:b w:val="0"/>
        </w:rPr>
        <w:t xml:space="preserve">Patient organisations are an effective conduit of information to the grassroots patient communities. We further recommend that </w:t>
      </w:r>
      <w:r w:rsidRPr="00843307">
        <w:rPr>
          <w:b w:val="0"/>
        </w:rPr>
        <w:t xml:space="preserve">Member States consult patient organisations </w:t>
      </w:r>
      <w:r w:rsidR="00F92952">
        <w:rPr>
          <w:b w:val="0"/>
        </w:rPr>
        <w:t xml:space="preserve">as well as </w:t>
      </w:r>
      <w:r w:rsidRPr="00843307">
        <w:rPr>
          <w:b w:val="0"/>
        </w:rPr>
        <w:t xml:space="preserve">healthcare professionals on </w:t>
      </w:r>
      <w:r w:rsidR="00F92952">
        <w:rPr>
          <w:b w:val="0"/>
        </w:rPr>
        <w:t xml:space="preserve">the </w:t>
      </w:r>
      <w:r w:rsidRPr="00843307">
        <w:rPr>
          <w:b w:val="0"/>
        </w:rPr>
        <w:t>appropriate temporary measures to take.</w:t>
      </w:r>
    </w:p>
    <w:p w:rsidR="00856AB4" w:rsidRPr="00856AB4" w:rsidRDefault="00856AB4" w:rsidP="00856AB4">
      <w:pPr>
        <w:pStyle w:val="Style1"/>
        <w:pBdr>
          <w:bottom w:val="none" w:sz="0" w:space="0" w:color="auto"/>
        </w:pBdr>
        <w:jc w:val="both"/>
        <w:rPr>
          <w:b w:val="0"/>
        </w:rPr>
      </w:pPr>
    </w:p>
    <w:tbl>
      <w:tblPr>
        <w:tblStyle w:val="TableGrid"/>
        <w:tblW w:w="0" w:type="auto"/>
        <w:tblLook w:val="04A0"/>
      </w:tblPr>
      <w:tblGrid>
        <w:gridCol w:w="9288"/>
      </w:tblGrid>
      <w:tr w:rsidR="00856AB4" w:rsidTr="00A31448">
        <w:trPr>
          <w:trHeight w:val="2205"/>
        </w:trPr>
        <w:tc>
          <w:tcPr>
            <w:tcW w:w="9288" w:type="dxa"/>
            <w:tcBorders>
              <w:bottom w:val="single" w:sz="4" w:space="0" w:color="auto"/>
            </w:tcBorders>
          </w:tcPr>
          <w:p w:rsidR="00856AB4" w:rsidRDefault="00856AB4" w:rsidP="00856AB4">
            <w:pPr>
              <w:pStyle w:val="Style1"/>
              <w:pBdr>
                <w:bottom w:val="none" w:sz="0" w:space="0" w:color="auto"/>
              </w:pBdr>
              <w:spacing w:after="0"/>
              <w:jc w:val="both"/>
              <w:rPr>
                <w:b w:val="0"/>
              </w:rPr>
            </w:pPr>
            <w:r w:rsidRPr="00856AB4">
              <w:rPr>
                <w:b w:val="0"/>
              </w:rPr>
              <w:t>The European Patients’ Forum (EPF) was founded in 2003 to become the collective patients’ voice at EU level, manifesting the solidarity, power and unity of the EU patients’ movem</w:t>
            </w:r>
            <w:r>
              <w:rPr>
                <w:b w:val="0"/>
              </w:rPr>
              <w:t>ent. EPF currently represents 54</w:t>
            </w:r>
            <w:r w:rsidRPr="00856AB4">
              <w:rPr>
                <w:b w:val="0"/>
              </w:rPr>
              <w:t xml:space="preserve"> member organisations, which are chronic disease-specific patient organisations working at European level, and national coalitions of patients organisations. Collectively they reflect the voice of over 150 million patients living with various chronic diseases in the European Union. EPF’s vision for the future is high quality, patient-centred, equitable healthcare throughout the European Union.</w:t>
            </w:r>
          </w:p>
        </w:tc>
      </w:tr>
      <w:tr w:rsidR="00856AB4" w:rsidTr="00A31448">
        <w:tc>
          <w:tcPr>
            <w:tcW w:w="9288" w:type="dxa"/>
            <w:tcBorders>
              <w:bottom w:val="single" w:sz="4" w:space="0" w:color="auto"/>
            </w:tcBorders>
          </w:tcPr>
          <w:p w:rsidR="00856AB4" w:rsidRDefault="00626D3E" w:rsidP="00626D3E">
            <w:pPr>
              <w:pStyle w:val="Style1"/>
              <w:pBdr>
                <w:bottom w:val="none" w:sz="0" w:space="0" w:color="auto"/>
              </w:pBdr>
              <w:jc w:val="both"/>
              <w:rPr>
                <w:b w:val="0"/>
              </w:rPr>
            </w:pPr>
            <w:r w:rsidRPr="00626D3E">
              <w:rPr>
                <w:b w:val="0"/>
              </w:rPr>
              <w:t xml:space="preserve">The European Federation of Allergy and Airways Diseases Patients’ Associations (EFA) is a non-profit network of allergy, asthma and COPD patients organisations, representing 34 national associations in 21 countries and over 400.000 patients. EFA is dedicated to making Europe a place where people with allergies, asthma and COPD have the right to best quality of care and safe environment, live uncompromised lives and are actively involved in all decisions influencing their health. </w:t>
            </w:r>
          </w:p>
          <w:p w:rsidR="00A31448" w:rsidRDefault="00A31448" w:rsidP="00626D3E">
            <w:pPr>
              <w:pStyle w:val="Style1"/>
              <w:pBdr>
                <w:bottom w:val="none" w:sz="0" w:space="0" w:color="auto"/>
              </w:pBdr>
              <w:jc w:val="both"/>
              <w:rPr>
                <w:b w:val="0"/>
              </w:rPr>
            </w:pPr>
            <w:r>
              <w:rPr>
                <w:b w:val="0"/>
              </w:rPr>
              <w:lastRenderedPageBreak/>
              <w:t>Insert the organisation’s description</w:t>
            </w:r>
          </w:p>
        </w:tc>
      </w:tr>
    </w:tbl>
    <w:p w:rsidR="00D7653A" w:rsidRDefault="00D7653A" w:rsidP="00856AB4">
      <w:pPr>
        <w:pStyle w:val="Style1"/>
        <w:pBdr>
          <w:bottom w:val="none" w:sz="0" w:space="0" w:color="auto"/>
        </w:pBdr>
        <w:jc w:val="both"/>
        <w:rPr>
          <w:b w:val="0"/>
        </w:rPr>
      </w:pPr>
    </w:p>
    <w:p w:rsidR="00D7653A" w:rsidRDefault="00D7653A" w:rsidP="00347BC9">
      <w:pPr>
        <w:pStyle w:val="Style1"/>
        <w:pBdr>
          <w:bottom w:val="none" w:sz="0" w:space="0" w:color="auto"/>
        </w:pBdr>
        <w:ind w:left="360"/>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6836"/>
      </w:tblGrid>
      <w:tr w:rsidR="00D7653A" w:rsidTr="00145E80">
        <w:trPr>
          <w:trHeight w:val="1545"/>
        </w:trPr>
        <w:tc>
          <w:tcPr>
            <w:tcW w:w="2376" w:type="dxa"/>
          </w:tcPr>
          <w:p w:rsidR="00D7653A" w:rsidRDefault="00D7653A" w:rsidP="00145E80">
            <w:r>
              <w:rPr>
                <w:rFonts w:eastAsia="MS Mincho"/>
                <w:noProof/>
                <w:color w:val="4F81BD" w:themeColor="accent1"/>
                <w:sz w:val="200"/>
                <w:szCs w:val="200"/>
                <w:lang w:val="en-US"/>
              </w:rPr>
              <w:drawing>
                <wp:anchor distT="0" distB="0" distL="114300" distR="114300" simplePos="0" relativeHeight="251668992" behindDoc="0" locked="0" layoutInCell="1" allowOverlap="1">
                  <wp:simplePos x="0" y="0"/>
                  <wp:positionH relativeFrom="margin">
                    <wp:posOffset>-65405</wp:posOffset>
                  </wp:positionH>
                  <wp:positionV relativeFrom="margin">
                    <wp:posOffset>21590</wp:posOffset>
                  </wp:positionV>
                  <wp:extent cx="1428750" cy="943610"/>
                  <wp:effectExtent l="0" t="0" r="0" b="8890"/>
                  <wp:wrapSquare wrapText="bothSides"/>
                  <wp:docPr id="9" name="Picture 9" descr="http://www.mentorfoundation.org/uploads/pictures/Flag-of-Europ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ntorfoundation.org/uploads/pictures/Flag-of-Europe-150.png"/>
                          <pic:cNvPicPr>
                            <a:picLocks noChangeAspect="1" noChangeArrowheads="1"/>
                          </pic:cNvPicPr>
                        </pic:nvPicPr>
                        <pic:blipFill>
                          <a:blip r:embed="rId10" r:link="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43610"/>
                          </a:xfrm>
                          <a:prstGeom prst="rect">
                            <a:avLst/>
                          </a:prstGeom>
                          <a:noFill/>
                          <a:ln>
                            <a:noFill/>
                          </a:ln>
                        </pic:spPr>
                      </pic:pic>
                    </a:graphicData>
                  </a:graphic>
                </wp:anchor>
              </w:drawing>
            </w:r>
          </w:p>
        </w:tc>
        <w:tc>
          <w:tcPr>
            <w:tcW w:w="6836" w:type="dxa"/>
          </w:tcPr>
          <w:p w:rsidR="00D7653A" w:rsidRPr="00FB6242" w:rsidRDefault="00D7653A" w:rsidP="00145E80">
            <w:pPr>
              <w:rPr>
                <w:rFonts w:asciiTheme="minorHAnsi" w:hAnsiTheme="minorHAnsi" w:cstheme="minorHAnsi"/>
                <w:color w:val="002060"/>
              </w:rPr>
            </w:pPr>
            <w:r>
              <w:rPr>
                <w:rFonts w:asciiTheme="minorHAnsi" w:hAnsiTheme="minorHAnsi" w:cstheme="minorHAnsi"/>
                <w:color w:val="002060"/>
              </w:rPr>
              <w:t xml:space="preserve">These </w:t>
            </w:r>
            <w:r w:rsidRPr="00D7653A">
              <w:rPr>
                <w:rFonts w:asciiTheme="minorHAnsi" w:hAnsiTheme="minorHAnsi" w:cstheme="minorHAnsi"/>
                <w:i/>
                <w:color w:val="002060"/>
              </w:rPr>
              <w:t>recommendations for a patient-centred implementation</w:t>
            </w:r>
            <w:r w:rsidRPr="00FB6242">
              <w:rPr>
                <w:rFonts w:asciiTheme="minorHAnsi" w:hAnsiTheme="minorHAnsi" w:cstheme="minorHAnsi"/>
                <w:color w:val="002060"/>
              </w:rPr>
              <w:t>arises from the E</w:t>
            </w:r>
            <w:r>
              <w:rPr>
                <w:rFonts w:asciiTheme="minorHAnsi" w:hAnsiTheme="minorHAnsi" w:cstheme="minorHAnsi"/>
                <w:color w:val="002060"/>
              </w:rPr>
              <w:t xml:space="preserve">uropean </w:t>
            </w:r>
            <w:r w:rsidRPr="00FB6242">
              <w:rPr>
                <w:rFonts w:asciiTheme="minorHAnsi" w:hAnsiTheme="minorHAnsi" w:cstheme="minorHAnsi"/>
                <w:color w:val="002060"/>
              </w:rPr>
              <w:t>P</w:t>
            </w:r>
            <w:r>
              <w:rPr>
                <w:rFonts w:asciiTheme="minorHAnsi" w:hAnsiTheme="minorHAnsi" w:cstheme="minorHAnsi"/>
                <w:color w:val="002060"/>
              </w:rPr>
              <w:t xml:space="preserve">atients’ </w:t>
            </w:r>
            <w:r w:rsidRPr="00FB6242">
              <w:rPr>
                <w:rFonts w:asciiTheme="minorHAnsi" w:hAnsiTheme="minorHAnsi" w:cstheme="minorHAnsi"/>
                <w:color w:val="002060"/>
              </w:rPr>
              <w:t>F</w:t>
            </w:r>
            <w:r>
              <w:rPr>
                <w:rFonts w:asciiTheme="minorHAnsi" w:hAnsiTheme="minorHAnsi" w:cstheme="minorHAnsi"/>
                <w:color w:val="002060"/>
              </w:rPr>
              <w:t>orum</w:t>
            </w:r>
            <w:r w:rsidRPr="00FB6242">
              <w:rPr>
                <w:rFonts w:asciiTheme="minorHAnsi" w:hAnsiTheme="minorHAnsi" w:cstheme="minorHAnsi"/>
                <w:color w:val="002060"/>
              </w:rPr>
              <w:t xml:space="preserve"> 2012 Work Programme, which has received funding from the European Union, in the framework of the Health Programme. </w:t>
            </w:r>
          </w:p>
          <w:p w:rsidR="00D7653A" w:rsidRPr="009D640C" w:rsidRDefault="00D7653A" w:rsidP="00D7653A">
            <w:pPr>
              <w:rPr>
                <w:rFonts w:ascii="ITC Avant Garde Gothic" w:hAnsi="ITC Avant Garde Gothic"/>
                <w:color w:val="1F497D" w:themeColor="text2"/>
                <w:sz w:val="18"/>
                <w:szCs w:val="18"/>
              </w:rPr>
            </w:pPr>
            <w:r w:rsidRPr="00FB6242">
              <w:rPr>
                <w:rFonts w:asciiTheme="minorHAnsi" w:hAnsiTheme="minorHAnsi" w:cstheme="minorHAnsi"/>
                <w:color w:val="002060"/>
              </w:rPr>
              <w:t xml:space="preserve">Disclaimer: The content of </w:t>
            </w:r>
            <w:r>
              <w:rPr>
                <w:rFonts w:asciiTheme="minorHAnsi" w:hAnsiTheme="minorHAnsi" w:cstheme="minorHAnsi"/>
                <w:color w:val="002060"/>
              </w:rPr>
              <w:t xml:space="preserve">these  </w:t>
            </w:r>
            <w:r w:rsidRPr="00D7653A">
              <w:rPr>
                <w:rFonts w:asciiTheme="minorHAnsi" w:hAnsiTheme="minorHAnsi" w:cstheme="minorHAnsi"/>
                <w:i/>
                <w:color w:val="002060"/>
              </w:rPr>
              <w:t>recommendations for a patient-centred implementation</w:t>
            </w:r>
            <w:r w:rsidRPr="00FB6242">
              <w:rPr>
                <w:rFonts w:asciiTheme="minorHAnsi" w:hAnsiTheme="minorHAnsi" w:cstheme="minorHAnsi"/>
                <w:color w:val="002060"/>
              </w:rPr>
              <w:t>reflects only the author’s views and the Executive Agency is not responsible for any use that may be made of the information contained therein.</w:t>
            </w:r>
          </w:p>
        </w:tc>
      </w:tr>
    </w:tbl>
    <w:p w:rsidR="00D7653A" w:rsidRPr="00843307" w:rsidRDefault="00D7653A" w:rsidP="00347BC9">
      <w:pPr>
        <w:pStyle w:val="Style1"/>
        <w:pBdr>
          <w:bottom w:val="none" w:sz="0" w:space="0" w:color="auto"/>
        </w:pBdr>
        <w:ind w:left="360"/>
        <w:jc w:val="both"/>
        <w:rPr>
          <w:b w:val="0"/>
        </w:rPr>
      </w:pPr>
    </w:p>
    <w:sectPr w:rsidR="00D7653A" w:rsidRPr="00843307" w:rsidSect="004B389A">
      <w:footerReference w:type="default" r:id="rId12"/>
      <w:pgSz w:w="11906" w:h="16838"/>
      <w:pgMar w:top="1135" w:right="1417" w:bottom="1417" w:left="141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08" w:rsidRDefault="00235408" w:rsidP="00AF6636">
      <w:pPr>
        <w:spacing w:after="0" w:line="240" w:lineRule="auto"/>
      </w:pPr>
      <w:r>
        <w:separator/>
      </w:r>
    </w:p>
  </w:endnote>
  <w:endnote w:type="continuationSeparator" w:id="0">
    <w:p w:rsidR="00235408" w:rsidRDefault="00235408" w:rsidP="00AF6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Avant Garde Gothic">
    <w:altName w:val="Century Gothic"/>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94" w:rsidRPr="004B389A" w:rsidRDefault="008D4A94" w:rsidP="004B389A">
    <w:pPr>
      <w:pStyle w:val="Footer"/>
      <w:jc w:val="right"/>
      <w:rPr>
        <w:i/>
        <w:sz w:val="18"/>
        <w:szCs w:val="18"/>
      </w:rPr>
    </w:pPr>
    <w:r>
      <w:rPr>
        <w:i/>
        <w:sz w:val="18"/>
        <w:szCs w:val="18"/>
      </w:rPr>
      <w:t>Pharmacovigilance</w:t>
    </w:r>
    <w:r w:rsidRPr="004B389A">
      <w:rPr>
        <w:i/>
        <w:sz w:val="18"/>
        <w:szCs w:val="18"/>
      </w:rPr>
      <w:t xml:space="preserve"> – recommendations for patient-centred implementation</w:t>
    </w:r>
    <w:r w:rsidR="00DB550C" w:rsidRPr="004B389A">
      <w:rPr>
        <w:i/>
        <w:sz w:val="18"/>
        <w:szCs w:val="18"/>
      </w:rPr>
      <w:fldChar w:fldCharType="begin"/>
    </w:r>
    <w:r w:rsidRPr="004B389A">
      <w:rPr>
        <w:i/>
        <w:sz w:val="18"/>
        <w:szCs w:val="18"/>
      </w:rPr>
      <w:instrText xml:space="preserve"> PAGE  \* Arabic  \* MERGEFORMAT </w:instrText>
    </w:r>
    <w:r w:rsidR="00DB550C" w:rsidRPr="004B389A">
      <w:rPr>
        <w:i/>
        <w:sz w:val="18"/>
        <w:szCs w:val="18"/>
      </w:rPr>
      <w:fldChar w:fldCharType="separate"/>
    </w:r>
    <w:r w:rsidR="007D65DD">
      <w:rPr>
        <w:i/>
        <w:noProof/>
        <w:sz w:val="18"/>
        <w:szCs w:val="18"/>
      </w:rPr>
      <w:t>7</w:t>
    </w:r>
    <w:r w:rsidR="00DB550C" w:rsidRPr="004B389A">
      <w:rP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08" w:rsidRDefault="00235408" w:rsidP="00AF6636">
      <w:pPr>
        <w:spacing w:after="0" w:line="240" w:lineRule="auto"/>
      </w:pPr>
      <w:r>
        <w:separator/>
      </w:r>
    </w:p>
  </w:footnote>
  <w:footnote w:type="continuationSeparator" w:id="0">
    <w:p w:rsidR="00235408" w:rsidRDefault="00235408" w:rsidP="00AF6636">
      <w:pPr>
        <w:spacing w:after="0" w:line="240" w:lineRule="auto"/>
      </w:pPr>
      <w:r>
        <w:continuationSeparator/>
      </w:r>
    </w:p>
  </w:footnote>
  <w:footnote w:id="1">
    <w:p w:rsidR="00BF43CD" w:rsidRDefault="00BF43CD" w:rsidP="00BF43CD">
      <w:pPr>
        <w:pStyle w:val="FootnoteText"/>
      </w:pPr>
      <w:r>
        <w:rPr>
          <w:rStyle w:val="FootnoteReference"/>
        </w:rPr>
        <w:footnoteRef/>
      </w:r>
      <w:r>
        <w:t>See for example:</w:t>
      </w:r>
      <w:hyperlink r:id="rId1" w:history="1">
        <w:r w:rsidRPr="00745F67">
          <w:rPr>
            <w:rStyle w:val="Hyperlink"/>
          </w:rPr>
          <w:t>http://www.eu-patient.eu/Documents/Press/PressReleases/EPF-Press-Release-Adherence-2011.pdf</w:t>
        </w:r>
      </w:hyperlink>
      <w:r w:rsidR="00626D3E">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C51"/>
    <w:multiLevelType w:val="hybridMultilevel"/>
    <w:tmpl w:val="77FCA400"/>
    <w:lvl w:ilvl="0" w:tplc="52C4AFBE">
      <w:start w:val="1"/>
      <w:numFmt w:val="decimal"/>
      <w:lvlText w:val="%1."/>
      <w:lvlJc w:val="left"/>
      <w:pPr>
        <w:ind w:left="720" w:hanging="360"/>
      </w:pPr>
      <w:rPr>
        <w:rFonts w:ascii="Calibri" w:hAnsi="Calibri" w:cs="Times New Roman" w:hint="default"/>
        <w:b w:val="0"/>
        <w:i w:val="0"/>
        <w:color w:val="auto"/>
        <w:sz w:val="32"/>
        <w:szCs w:val="3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260C5D"/>
    <w:multiLevelType w:val="multilevel"/>
    <w:tmpl w:val="9B267AFC"/>
    <w:lvl w:ilvl="0">
      <w:start w:val="1"/>
      <w:numFmt w:val="decimal"/>
      <w:lvlText w:val="%1."/>
      <w:lvlJc w:val="left"/>
      <w:pPr>
        <w:ind w:left="720" w:hanging="360"/>
      </w:pPr>
      <w:rPr>
        <w:rFonts w:ascii="Calibri" w:hAnsi="Calibri" w:cs="Times New Roman" w:hint="default"/>
        <w:b w:val="0"/>
        <w:i w:val="0"/>
        <w:color w:val="auto"/>
        <w:sz w:val="32"/>
        <w:szCs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F3136D"/>
    <w:multiLevelType w:val="hybridMultilevel"/>
    <w:tmpl w:val="0652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F0B00"/>
    <w:multiLevelType w:val="hybridMultilevel"/>
    <w:tmpl w:val="ECF40C4A"/>
    <w:lvl w:ilvl="0" w:tplc="35EE653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3B40FB0"/>
    <w:multiLevelType w:val="hybridMultilevel"/>
    <w:tmpl w:val="1046C4F0"/>
    <w:lvl w:ilvl="0" w:tplc="2BACE950">
      <w:start w:val="1"/>
      <w:numFmt w:val="decimal"/>
      <w:lvlText w:val="%1."/>
      <w:lvlJc w:val="left"/>
      <w:pPr>
        <w:ind w:left="720" w:hanging="360"/>
      </w:pPr>
      <w:rPr>
        <w:rFonts w:ascii="Calibri" w:hAnsi="Calibri"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68C3142"/>
    <w:multiLevelType w:val="hybridMultilevel"/>
    <w:tmpl w:val="BDB6842E"/>
    <w:lvl w:ilvl="0" w:tplc="C00AD2F8">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22B77C7E"/>
    <w:multiLevelType w:val="hybridMultilevel"/>
    <w:tmpl w:val="8216F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A10CE5"/>
    <w:multiLevelType w:val="hybridMultilevel"/>
    <w:tmpl w:val="C87A8E7C"/>
    <w:lvl w:ilvl="0" w:tplc="52C4AFBE">
      <w:start w:val="1"/>
      <w:numFmt w:val="decimal"/>
      <w:lvlText w:val="%1."/>
      <w:lvlJc w:val="left"/>
      <w:pPr>
        <w:ind w:left="360" w:hanging="360"/>
      </w:pPr>
      <w:rPr>
        <w:rFonts w:ascii="Calibri" w:hAnsi="Calibri" w:cs="Times New Roman" w:hint="default"/>
        <w:b w:val="0"/>
        <w:i w:val="0"/>
        <w:color w:val="auto"/>
        <w:sz w:val="32"/>
        <w:szCs w:val="3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306677E2"/>
    <w:multiLevelType w:val="hybridMultilevel"/>
    <w:tmpl w:val="3364F286"/>
    <w:lvl w:ilvl="0" w:tplc="640C9302">
      <w:start w:val="1"/>
      <w:numFmt w:val="decimal"/>
      <w:lvlText w:val="%1."/>
      <w:lvlJc w:val="left"/>
      <w:pPr>
        <w:ind w:left="360" w:hanging="360"/>
      </w:pPr>
      <w:rPr>
        <w:rFonts w:ascii="Calibri" w:hAnsi="Calibri" w:cs="Times New Roman" w:hint="default"/>
        <w:b w:val="0"/>
        <w:i w:val="0"/>
        <w:color w:val="auto"/>
        <w:sz w:val="24"/>
        <w:szCs w:val="3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68B2F71"/>
    <w:multiLevelType w:val="hybridMultilevel"/>
    <w:tmpl w:val="7C4CE2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8887385"/>
    <w:multiLevelType w:val="hybridMultilevel"/>
    <w:tmpl w:val="041E3374"/>
    <w:lvl w:ilvl="0" w:tplc="606462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062099"/>
    <w:multiLevelType w:val="hybridMultilevel"/>
    <w:tmpl w:val="8528F2AE"/>
    <w:lvl w:ilvl="0" w:tplc="52C4AFBE">
      <w:start w:val="1"/>
      <w:numFmt w:val="decimal"/>
      <w:lvlText w:val="%1."/>
      <w:lvlJc w:val="left"/>
      <w:pPr>
        <w:ind w:left="720" w:hanging="360"/>
      </w:pPr>
      <w:rPr>
        <w:rFonts w:ascii="Calibri" w:hAnsi="Calibri" w:cs="Times New Roman" w:hint="default"/>
        <w:b w:val="0"/>
        <w:i w:val="0"/>
        <w:color w:val="auto"/>
        <w:sz w:val="32"/>
        <w:szCs w:val="32"/>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3D47187D"/>
    <w:multiLevelType w:val="hybridMultilevel"/>
    <w:tmpl w:val="3DBCE5E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44D0774"/>
    <w:multiLevelType w:val="hybridMultilevel"/>
    <w:tmpl w:val="4888EBE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46073E09"/>
    <w:multiLevelType w:val="hybridMultilevel"/>
    <w:tmpl w:val="5EEE3F82"/>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133" w:hanging="360"/>
      </w:pPr>
      <w:rPr>
        <w:rFonts w:ascii="Courier New" w:hAnsi="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nsid w:val="48216948"/>
    <w:multiLevelType w:val="hybridMultilevel"/>
    <w:tmpl w:val="5DECA962"/>
    <w:lvl w:ilvl="0" w:tplc="78C0E04E">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4C5E74A0"/>
    <w:multiLevelType w:val="hybridMultilevel"/>
    <w:tmpl w:val="63229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C06C24"/>
    <w:multiLevelType w:val="hybridMultilevel"/>
    <w:tmpl w:val="19785F46"/>
    <w:lvl w:ilvl="0" w:tplc="435C6EA4">
      <w:start w:val="14"/>
      <w:numFmt w:val="bullet"/>
      <w:lvlText w:val=""/>
      <w:lvlJc w:val="left"/>
      <w:pPr>
        <w:ind w:left="45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530578F"/>
    <w:multiLevelType w:val="hybridMultilevel"/>
    <w:tmpl w:val="00563046"/>
    <w:lvl w:ilvl="0" w:tplc="2CECA2AA">
      <w:numFmt w:val="bullet"/>
      <w:lvlText w:val=""/>
      <w:lvlJc w:val="left"/>
      <w:pPr>
        <w:ind w:left="720" w:hanging="360"/>
      </w:pPr>
      <w:rPr>
        <w:rFonts w:ascii="Symbol" w:eastAsia="Times New Roman" w:hAnsi="Symbol"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AE142CA"/>
    <w:multiLevelType w:val="hybridMultilevel"/>
    <w:tmpl w:val="A7420A74"/>
    <w:lvl w:ilvl="0" w:tplc="C00AD2F8">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5CC53359"/>
    <w:multiLevelType w:val="hybridMultilevel"/>
    <w:tmpl w:val="327AC66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5CC70586"/>
    <w:multiLevelType w:val="hybridMultilevel"/>
    <w:tmpl w:val="C1768690"/>
    <w:lvl w:ilvl="0" w:tplc="1A9AC450">
      <w:start w:val="1"/>
      <w:numFmt w:val="decimal"/>
      <w:lvlText w:val="%1."/>
      <w:lvlJc w:val="left"/>
      <w:pPr>
        <w:ind w:left="360" w:hanging="360"/>
      </w:pPr>
      <w:rPr>
        <w:rFonts w:ascii="Calibri" w:hAnsi="Calibri" w:cs="Times New Roman" w:hint="default"/>
        <w:b w:val="0"/>
        <w:i w:val="0"/>
        <w:color w:val="auto"/>
        <w:sz w:val="24"/>
        <w:szCs w:val="3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hint="default"/>
        <w:b w:val="0"/>
        <w:i w:val="0"/>
        <w:color w:val="auto"/>
        <w:sz w:val="32"/>
        <w:szCs w:val="3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D455D14"/>
    <w:multiLevelType w:val="hybridMultilevel"/>
    <w:tmpl w:val="7E003F7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651176F1"/>
    <w:multiLevelType w:val="hybridMultilevel"/>
    <w:tmpl w:val="9DB6F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EC5E64"/>
    <w:multiLevelType w:val="hybridMultilevel"/>
    <w:tmpl w:val="B560A18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72823475"/>
    <w:multiLevelType w:val="hybridMultilevel"/>
    <w:tmpl w:val="35881D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74DE3D2F"/>
    <w:multiLevelType w:val="hybridMultilevel"/>
    <w:tmpl w:val="0256F8E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765A3F58"/>
    <w:multiLevelType w:val="hybridMultilevel"/>
    <w:tmpl w:val="9C224046"/>
    <w:lvl w:ilvl="0" w:tplc="52C4AFBE">
      <w:start w:val="1"/>
      <w:numFmt w:val="decimal"/>
      <w:lvlText w:val="%1."/>
      <w:lvlJc w:val="left"/>
      <w:pPr>
        <w:ind w:left="360" w:hanging="360"/>
      </w:pPr>
      <w:rPr>
        <w:rFonts w:ascii="Calibri" w:hAnsi="Calibri" w:cs="Times New Roman" w:hint="default"/>
        <w:b w:val="0"/>
        <w:i w:val="0"/>
        <w:color w:val="auto"/>
        <w:sz w:val="32"/>
        <w:szCs w:val="3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3"/>
  </w:num>
  <w:num w:numId="4">
    <w:abstractNumId w:val="14"/>
  </w:num>
  <w:num w:numId="5">
    <w:abstractNumId w:val="6"/>
  </w:num>
  <w:num w:numId="6">
    <w:abstractNumId w:val="7"/>
  </w:num>
  <w:num w:numId="7">
    <w:abstractNumId w:val="11"/>
  </w:num>
  <w:num w:numId="8">
    <w:abstractNumId w:val="0"/>
  </w:num>
  <w:num w:numId="9">
    <w:abstractNumId w:val="24"/>
  </w:num>
  <w:num w:numId="10">
    <w:abstractNumId w:val="13"/>
  </w:num>
  <w:num w:numId="11">
    <w:abstractNumId w:val="22"/>
  </w:num>
  <w:num w:numId="12">
    <w:abstractNumId w:val="5"/>
  </w:num>
  <w:num w:numId="13">
    <w:abstractNumId w:val="19"/>
  </w:num>
  <w:num w:numId="14">
    <w:abstractNumId w:val="3"/>
  </w:num>
  <w:num w:numId="15">
    <w:abstractNumId w:val="15"/>
  </w:num>
  <w:num w:numId="16">
    <w:abstractNumId w:val="26"/>
  </w:num>
  <w:num w:numId="17">
    <w:abstractNumId w:val="12"/>
  </w:num>
  <w:num w:numId="18">
    <w:abstractNumId w:val="2"/>
  </w:num>
  <w:num w:numId="19">
    <w:abstractNumId w:val="18"/>
  </w:num>
  <w:num w:numId="20">
    <w:abstractNumId w:val="1"/>
  </w:num>
  <w:num w:numId="21">
    <w:abstractNumId w:val="20"/>
  </w:num>
  <w:num w:numId="22">
    <w:abstractNumId w:val="27"/>
  </w:num>
  <w:num w:numId="23">
    <w:abstractNumId w:val="21"/>
  </w:num>
  <w:num w:numId="24">
    <w:abstractNumId w:val="16"/>
  </w:num>
  <w:num w:numId="25">
    <w:abstractNumId w:val="25"/>
  </w:num>
  <w:num w:numId="26">
    <w:abstractNumId w:val="8"/>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212736"/>
    <w:rsid w:val="0000706C"/>
    <w:rsid w:val="0002301F"/>
    <w:rsid w:val="00027424"/>
    <w:rsid w:val="00031290"/>
    <w:rsid w:val="00033498"/>
    <w:rsid w:val="000345D7"/>
    <w:rsid w:val="00035633"/>
    <w:rsid w:val="0004557A"/>
    <w:rsid w:val="00046DD8"/>
    <w:rsid w:val="000574C1"/>
    <w:rsid w:val="0006052C"/>
    <w:rsid w:val="00061CC1"/>
    <w:rsid w:val="00064EE5"/>
    <w:rsid w:val="0006555F"/>
    <w:rsid w:val="00070D99"/>
    <w:rsid w:val="00071045"/>
    <w:rsid w:val="000758B3"/>
    <w:rsid w:val="0008327F"/>
    <w:rsid w:val="00090E4D"/>
    <w:rsid w:val="00093208"/>
    <w:rsid w:val="000A05E2"/>
    <w:rsid w:val="000A483F"/>
    <w:rsid w:val="000B1D41"/>
    <w:rsid w:val="000D3F1A"/>
    <w:rsid w:val="000D745B"/>
    <w:rsid w:val="000E50B7"/>
    <w:rsid w:val="00102C19"/>
    <w:rsid w:val="00103DD9"/>
    <w:rsid w:val="0010787B"/>
    <w:rsid w:val="00114143"/>
    <w:rsid w:val="00124DED"/>
    <w:rsid w:val="00127E6B"/>
    <w:rsid w:val="00133A72"/>
    <w:rsid w:val="0013434E"/>
    <w:rsid w:val="00142709"/>
    <w:rsid w:val="00146E9A"/>
    <w:rsid w:val="00146FFF"/>
    <w:rsid w:val="00157FC5"/>
    <w:rsid w:val="00176B02"/>
    <w:rsid w:val="00177130"/>
    <w:rsid w:val="00181E33"/>
    <w:rsid w:val="00185E4A"/>
    <w:rsid w:val="001878AD"/>
    <w:rsid w:val="00191B91"/>
    <w:rsid w:val="001A3994"/>
    <w:rsid w:val="001A7963"/>
    <w:rsid w:val="001A7D35"/>
    <w:rsid w:val="001B420D"/>
    <w:rsid w:val="001B7C5C"/>
    <w:rsid w:val="001C61FC"/>
    <w:rsid w:val="001C671C"/>
    <w:rsid w:val="001C7B94"/>
    <w:rsid w:val="001D2E9E"/>
    <w:rsid w:val="001D616F"/>
    <w:rsid w:val="001D7CB7"/>
    <w:rsid w:val="001E4A7F"/>
    <w:rsid w:val="001F104A"/>
    <w:rsid w:val="001F49B9"/>
    <w:rsid w:val="001F5D3D"/>
    <w:rsid w:val="002124EA"/>
    <w:rsid w:val="00212736"/>
    <w:rsid w:val="00213FC0"/>
    <w:rsid w:val="002173F1"/>
    <w:rsid w:val="00217FEA"/>
    <w:rsid w:val="002266CA"/>
    <w:rsid w:val="002330C4"/>
    <w:rsid w:val="00235408"/>
    <w:rsid w:val="00237CB9"/>
    <w:rsid w:val="00257562"/>
    <w:rsid w:val="00260340"/>
    <w:rsid w:val="00261764"/>
    <w:rsid w:val="00262049"/>
    <w:rsid w:val="00266C81"/>
    <w:rsid w:val="00277AD9"/>
    <w:rsid w:val="00283914"/>
    <w:rsid w:val="00283C36"/>
    <w:rsid w:val="00292AE0"/>
    <w:rsid w:val="002A3EA5"/>
    <w:rsid w:val="002A5B9C"/>
    <w:rsid w:val="002D2E6E"/>
    <w:rsid w:val="002D3E85"/>
    <w:rsid w:val="002D47FC"/>
    <w:rsid w:val="002D562A"/>
    <w:rsid w:val="002D5F60"/>
    <w:rsid w:val="002E533D"/>
    <w:rsid w:val="002E62B1"/>
    <w:rsid w:val="002F13A2"/>
    <w:rsid w:val="002F68BC"/>
    <w:rsid w:val="002F6D95"/>
    <w:rsid w:val="002F70D1"/>
    <w:rsid w:val="003033C1"/>
    <w:rsid w:val="00312E24"/>
    <w:rsid w:val="00314722"/>
    <w:rsid w:val="00314EF0"/>
    <w:rsid w:val="00321AFF"/>
    <w:rsid w:val="00342023"/>
    <w:rsid w:val="00343277"/>
    <w:rsid w:val="00345323"/>
    <w:rsid w:val="00347BC9"/>
    <w:rsid w:val="00357B49"/>
    <w:rsid w:val="00367B33"/>
    <w:rsid w:val="003865F0"/>
    <w:rsid w:val="00386E4F"/>
    <w:rsid w:val="003B5F3D"/>
    <w:rsid w:val="003C0A1F"/>
    <w:rsid w:val="003C4999"/>
    <w:rsid w:val="003D088C"/>
    <w:rsid w:val="003D1331"/>
    <w:rsid w:val="003D2491"/>
    <w:rsid w:val="003E7596"/>
    <w:rsid w:val="00402186"/>
    <w:rsid w:val="00402876"/>
    <w:rsid w:val="004041A4"/>
    <w:rsid w:val="004071F6"/>
    <w:rsid w:val="004100CF"/>
    <w:rsid w:val="00410366"/>
    <w:rsid w:val="00413691"/>
    <w:rsid w:val="00420224"/>
    <w:rsid w:val="0042350F"/>
    <w:rsid w:val="00425A35"/>
    <w:rsid w:val="00427D3A"/>
    <w:rsid w:val="004357BB"/>
    <w:rsid w:val="0043771A"/>
    <w:rsid w:val="004414A1"/>
    <w:rsid w:val="0044327C"/>
    <w:rsid w:val="00452EB8"/>
    <w:rsid w:val="00455A5F"/>
    <w:rsid w:val="00473CAA"/>
    <w:rsid w:val="00481976"/>
    <w:rsid w:val="00482E65"/>
    <w:rsid w:val="00487907"/>
    <w:rsid w:val="004A1BF3"/>
    <w:rsid w:val="004B0EDD"/>
    <w:rsid w:val="004B389A"/>
    <w:rsid w:val="004B5F10"/>
    <w:rsid w:val="004C1C4D"/>
    <w:rsid w:val="004C2EF6"/>
    <w:rsid w:val="004C3B1C"/>
    <w:rsid w:val="004C4DA1"/>
    <w:rsid w:val="004D24AD"/>
    <w:rsid w:val="004D3701"/>
    <w:rsid w:val="004D4359"/>
    <w:rsid w:val="004E1C7B"/>
    <w:rsid w:val="004E2354"/>
    <w:rsid w:val="004E2618"/>
    <w:rsid w:val="004E3901"/>
    <w:rsid w:val="004E5EA3"/>
    <w:rsid w:val="004E6C75"/>
    <w:rsid w:val="004E7DE4"/>
    <w:rsid w:val="004F037E"/>
    <w:rsid w:val="00512EA8"/>
    <w:rsid w:val="005202A9"/>
    <w:rsid w:val="00521807"/>
    <w:rsid w:val="00523381"/>
    <w:rsid w:val="00526971"/>
    <w:rsid w:val="00531AB5"/>
    <w:rsid w:val="00540D36"/>
    <w:rsid w:val="00541906"/>
    <w:rsid w:val="005420FB"/>
    <w:rsid w:val="00543149"/>
    <w:rsid w:val="00545B1A"/>
    <w:rsid w:val="00547F2A"/>
    <w:rsid w:val="005573EC"/>
    <w:rsid w:val="00562F7C"/>
    <w:rsid w:val="005645CD"/>
    <w:rsid w:val="0056586A"/>
    <w:rsid w:val="005708A9"/>
    <w:rsid w:val="00570B43"/>
    <w:rsid w:val="00574415"/>
    <w:rsid w:val="00582824"/>
    <w:rsid w:val="00582E75"/>
    <w:rsid w:val="005A4F00"/>
    <w:rsid w:val="005B6B36"/>
    <w:rsid w:val="005C17F1"/>
    <w:rsid w:val="005D5AB5"/>
    <w:rsid w:val="005E0143"/>
    <w:rsid w:val="005E1ECC"/>
    <w:rsid w:val="005E43DF"/>
    <w:rsid w:val="005F4212"/>
    <w:rsid w:val="0060066A"/>
    <w:rsid w:val="00626D3E"/>
    <w:rsid w:val="00647683"/>
    <w:rsid w:val="00671099"/>
    <w:rsid w:val="00672D40"/>
    <w:rsid w:val="006842F7"/>
    <w:rsid w:val="00685295"/>
    <w:rsid w:val="006A31E7"/>
    <w:rsid w:val="006A57F0"/>
    <w:rsid w:val="006A7CE1"/>
    <w:rsid w:val="006A7DDB"/>
    <w:rsid w:val="006B3EC2"/>
    <w:rsid w:val="006B4D4F"/>
    <w:rsid w:val="006E4FCF"/>
    <w:rsid w:val="006E7E31"/>
    <w:rsid w:val="006F045F"/>
    <w:rsid w:val="006F0CCE"/>
    <w:rsid w:val="007038E7"/>
    <w:rsid w:val="00714976"/>
    <w:rsid w:val="00716F98"/>
    <w:rsid w:val="00720DAC"/>
    <w:rsid w:val="00747892"/>
    <w:rsid w:val="00747905"/>
    <w:rsid w:val="00756D96"/>
    <w:rsid w:val="0076242C"/>
    <w:rsid w:val="007726BC"/>
    <w:rsid w:val="0078443C"/>
    <w:rsid w:val="007911B5"/>
    <w:rsid w:val="00791A9F"/>
    <w:rsid w:val="007B4532"/>
    <w:rsid w:val="007C153C"/>
    <w:rsid w:val="007C77AE"/>
    <w:rsid w:val="007D65DD"/>
    <w:rsid w:val="007E2725"/>
    <w:rsid w:val="007E7584"/>
    <w:rsid w:val="007E75C7"/>
    <w:rsid w:val="007F1673"/>
    <w:rsid w:val="007F3EC9"/>
    <w:rsid w:val="008026F7"/>
    <w:rsid w:val="00804F97"/>
    <w:rsid w:val="00810596"/>
    <w:rsid w:val="00826C26"/>
    <w:rsid w:val="00843307"/>
    <w:rsid w:val="00844C38"/>
    <w:rsid w:val="00844E5D"/>
    <w:rsid w:val="0085405E"/>
    <w:rsid w:val="00856AB4"/>
    <w:rsid w:val="00860553"/>
    <w:rsid w:val="00861905"/>
    <w:rsid w:val="00866230"/>
    <w:rsid w:val="0087209A"/>
    <w:rsid w:val="0087610A"/>
    <w:rsid w:val="00891493"/>
    <w:rsid w:val="008A19B2"/>
    <w:rsid w:val="008A21A9"/>
    <w:rsid w:val="008A31B0"/>
    <w:rsid w:val="008B0853"/>
    <w:rsid w:val="008C0CD5"/>
    <w:rsid w:val="008D3007"/>
    <w:rsid w:val="008D4A94"/>
    <w:rsid w:val="008D5254"/>
    <w:rsid w:val="008E563D"/>
    <w:rsid w:val="008F1B60"/>
    <w:rsid w:val="008F768A"/>
    <w:rsid w:val="009028DC"/>
    <w:rsid w:val="00903400"/>
    <w:rsid w:val="0090621C"/>
    <w:rsid w:val="00914FC1"/>
    <w:rsid w:val="00921435"/>
    <w:rsid w:val="00925EDC"/>
    <w:rsid w:val="00927355"/>
    <w:rsid w:val="00935B2B"/>
    <w:rsid w:val="00937950"/>
    <w:rsid w:val="00940234"/>
    <w:rsid w:val="0095022A"/>
    <w:rsid w:val="009507DC"/>
    <w:rsid w:val="0096624B"/>
    <w:rsid w:val="00967B5C"/>
    <w:rsid w:val="00976AD7"/>
    <w:rsid w:val="00982C49"/>
    <w:rsid w:val="009845E2"/>
    <w:rsid w:val="009849A6"/>
    <w:rsid w:val="00990BC5"/>
    <w:rsid w:val="009953FC"/>
    <w:rsid w:val="009A362E"/>
    <w:rsid w:val="009B047C"/>
    <w:rsid w:val="009B651E"/>
    <w:rsid w:val="009C10D1"/>
    <w:rsid w:val="009C4F06"/>
    <w:rsid w:val="009D16D8"/>
    <w:rsid w:val="00A003E0"/>
    <w:rsid w:val="00A029D6"/>
    <w:rsid w:val="00A10288"/>
    <w:rsid w:val="00A13384"/>
    <w:rsid w:val="00A1535A"/>
    <w:rsid w:val="00A31448"/>
    <w:rsid w:val="00A342B9"/>
    <w:rsid w:val="00A43342"/>
    <w:rsid w:val="00A50C62"/>
    <w:rsid w:val="00A53824"/>
    <w:rsid w:val="00A61011"/>
    <w:rsid w:val="00A73F0F"/>
    <w:rsid w:val="00A759A3"/>
    <w:rsid w:val="00A81791"/>
    <w:rsid w:val="00A820D8"/>
    <w:rsid w:val="00A828B6"/>
    <w:rsid w:val="00A84721"/>
    <w:rsid w:val="00A85F5A"/>
    <w:rsid w:val="00A90A2E"/>
    <w:rsid w:val="00A94B90"/>
    <w:rsid w:val="00A975AF"/>
    <w:rsid w:val="00A97C87"/>
    <w:rsid w:val="00AA06C7"/>
    <w:rsid w:val="00AA1E93"/>
    <w:rsid w:val="00AA69A4"/>
    <w:rsid w:val="00AB7B3F"/>
    <w:rsid w:val="00AD408B"/>
    <w:rsid w:val="00AE6B2E"/>
    <w:rsid w:val="00AF04D3"/>
    <w:rsid w:val="00AF0DD7"/>
    <w:rsid w:val="00AF6636"/>
    <w:rsid w:val="00B0124F"/>
    <w:rsid w:val="00B11466"/>
    <w:rsid w:val="00B12022"/>
    <w:rsid w:val="00B16F18"/>
    <w:rsid w:val="00B23C80"/>
    <w:rsid w:val="00B27B93"/>
    <w:rsid w:val="00B3314A"/>
    <w:rsid w:val="00B34D98"/>
    <w:rsid w:val="00B473EB"/>
    <w:rsid w:val="00B52157"/>
    <w:rsid w:val="00B532C4"/>
    <w:rsid w:val="00B5499F"/>
    <w:rsid w:val="00B61966"/>
    <w:rsid w:val="00B61D1C"/>
    <w:rsid w:val="00B66DB9"/>
    <w:rsid w:val="00B6764D"/>
    <w:rsid w:val="00B83F9B"/>
    <w:rsid w:val="00B84CD4"/>
    <w:rsid w:val="00B94918"/>
    <w:rsid w:val="00B95070"/>
    <w:rsid w:val="00BA2CC3"/>
    <w:rsid w:val="00BB458C"/>
    <w:rsid w:val="00BD0175"/>
    <w:rsid w:val="00BE0E46"/>
    <w:rsid w:val="00BE2A81"/>
    <w:rsid w:val="00BE3936"/>
    <w:rsid w:val="00BE5A25"/>
    <w:rsid w:val="00BF24FC"/>
    <w:rsid w:val="00BF2ED5"/>
    <w:rsid w:val="00BF43CD"/>
    <w:rsid w:val="00BF4DC1"/>
    <w:rsid w:val="00C02050"/>
    <w:rsid w:val="00C058CD"/>
    <w:rsid w:val="00C14EA2"/>
    <w:rsid w:val="00C24401"/>
    <w:rsid w:val="00C33B6D"/>
    <w:rsid w:val="00C34A56"/>
    <w:rsid w:val="00C35719"/>
    <w:rsid w:val="00C411D4"/>
    <w:rsid w:val="00C4349A"/>
    <w:rsid w:val="00C449AC"/>
    <w:rsid w:val="00C57A3F"/>
    <w:rsid w:val="00C626CB"/>
    <w:rsid w:val="00C65257"/>
    <w:rsid w:val="00C73062"/>
    <w:rsid w:val="00C74268"/>
    <w:rsid w:val="00C751C5"/>
    <w:rsid w:val="00C80742"/>
    <w:rsid w:val="00C810E1"/>
    <w:rsid w:val="00C8158D"/>
    <w:rsid w:val="00C821C1"/>
    <w:rsid w:val="00C87163"/>
    <w:rsid w:val="00C90F97"/>
    <w:rsid w:val="00C920CE"/>
    <w:rsid w:val="00CB3FE8"/>
    <w:rsid w:val="00CC607B"/>
    <w:rsid w:val="00CD3A92"/>
    <w:rsid w:val="00CD4546"/>
    <w:rsid w:val="00CD5C3D"/>
    <w:rsid w:val="00CE1786"/>
    <w:rsid w:val="00CE24FE"/>
    <w:rsid w:val="00CE4055"/>
    <w:rsid w:val="00CF5B20"/>
    <w:rsid w:val="00CF6B1C"/>
    <w:rsid w:val="00D01771"/>
    <w:rsid w:val="00D12922"/>
    <w:rsid w:val="00D256DC"/>
    <w:rsid w:val="00D27331"/>
    <w:rsid w:val="00D31B2E"/>
    <w:rsid w:val="00D34511"/>
    <w:rsid w:val="00D4158A"/>
    <w:rsid w:val="00D43468"/>
    <w:rsid w:val="00D473F2"/>
    <w:rsid w:val="00D57B05"/>
    <w:rsid w:val="00D65DFD"/>
    <w:rsid w:val="00D70EF1"/>
    <w:rsid w:val="00D750FD"/>
    <w:rsid w:val="00D7653A"/>
    <w:rsid w:val="00D837C9"/>
    <w:rsid w:val="00D85F1E"/>
    <w:rsid w:val="00D91DF2"/>
    <w:rsid w:val="00DA709C"/>
    <w:rsid w:val="00DA7824"/>
    <w:rsid w:val="00DB550C"/>
    <w:rsid w:val="00DD7EEB"/>
    <w:rsid w:val="00DE1342"/>
    <w:rsid w:val="00DE2A35"/>
    <w:rsid w:val="00DE3000"/>
    <w:rsid w:val="00DE6B9E"/>
    <w:rsid w:val="00DE751A"/>
    <w:rsid w:val="00DF0C5A"/>
    <w:rsid w:val="00DF4B62"/>
    <w:rsid w:val="00E0244A"/>
    <w:rsid w:val="00E13902"/>
    <w:rsid w:val="00E13936"/>
    <w:rsid w:val="00E13ADC"/>
    <w:rsid w:val="00E16CAF"/>
    <w:rsid w:val="00E22D76"/>
    <w:rsid w:val="00E4169E"/>
    <w:rsid w:val="00E44F95"/>
    <w:rsid w:val="00E4701A"/>
    <w:rsid w:val="00E5098F"/>
    <w:rsid w:val="00E5481B"/>
    <w:rsid w:val="00E6422E"/>
    <w:rsid w:val="00E67013"/>
    <w:rsid w:val="00E7188A"/>
    <w:rsid w:val="00E76C07"/>
    <w:rsid w:val="00E90423"/>
    <w:rsid w:val="00E9209F"/>
    <w:rsid w:val="00EA07B3"/>
    <w:rsid w:val="00EB0856"/>
    <w:rsid w:val="00EB4C03"/>
    <w:rsid w:val="00EC0B64"/>
    <w:rsid w:val="00ED5FAE"/>
    <w:rsid w:val="00EE5651"/>
    <w:rsid w:val="00EF0A46"/>
    <w:rsid w:val="00EF0FFA"/>
    <w:rsid w:val="00EF12C3"/>
    <w:rsid w:val="00EF18F1"/>
    <w:rsid w:val="00EF2F88"/>
    <w:rsid w:val="00EF7D12"/>
    <w:rsid w:val="00F1473C"/>
    <w:rsid w:val="00F1518F"/>
    <w:rsid w:val="00F37357"/>
    <w:rsid w:val="00F47D66"/>
    <w:rsid w:val="00F636D5"/>
    <w:rsid w:val="00F67FCF"/>
    <w:rsid w:val="00F752B5"/>
    <w:rsid w:val="00F7576D"/>
    <w:rsid w:val="00F87ABC"/>
    <w:rsid w:val="00F90BA0"/>
    <w:rsid w:val="00F919D3"/>
    <w:rsid w:val="00F92952"/>
    <w:rsid w:val="00FB1444"/>
    <w:rsid w:val="00FB1E1D"/>
    <w:rsid w:val="00FB2D3C"/>
    <w:rsid w:val="00FB63A3"/>
    <w:rsid w:val="00FC014E"/>
    <w:rsid w:val="00FC1C7D"/>
    <w:rsid w:val="00FC22C4"/>
    <w:rsid w:val="00FC47AD"/>
    <w:rsid w:val="00FC4E32"/>
    <w:rsid w:val="00FC60DE"/>
    <w:rsid w:val="00FE0C2F"/>
    <w:rsid w:val="00FE13D6"/>
    <w:rsid w:val="00FE74E0"/>
    <w:rsid w:val="00FF4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4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66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F6636"/>
    <w:rPr>
      <w:rFonts w:cs="Times New Roman"/>
    </w:rPr>
  </w:style>
  <w:style w:type="paragraph" w:styleId="Footer">
    <w:name w:val="footer"/>
    <w:basedOn w:val="Normal"/>
    <w:link w:val="FooterChar"/>
    <w:uiPriority w:val="99"/>
    <w:rsid w:val="00AF66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F6636"/>
    <w:rPr>
      <w:rFonts w:cs="Times New Roman"/>
    </w:rPr>
  </w:style>
  <w:style w:type="character" w:styleId="PlaceholderText">
    <w:name w:val="Placeholder Text"/>
    <w:basedOn w:val="DefaultParagraphFont"/>
    <w:uiPriority w:val="99"/>
    <w:semiHidden/>
    <w:rsid w:val="00AF6636"/>
    <w:rPr>
      <w:rFonts w:cs="Times New Roman"/>
      <w:color w:val="808080"/>
    </w:rPr>
  </w:style>
  <w:style w:type="paragraph" w:styleId="BalloonText">
    <w:name w:val="Balloon Text"/>
    <w:basedOn w:val="Normal"/>
    <w:link w:val="BalloonTextChar"/>
    <w:uiPriority w:val="99"/>
    <w:semiHidden/>
    <w:rsid w:val="00AF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636"/>
    <w:rPr>
      <w:rFonts w:ascii="Tahoma" w:hAnsi="Tahoma" w:cs="Tahoma"/>
      <w:sz w:val="16"/>
      <w:szCs w:val="16"/>
    </w:rPr>
  </w:style>
  <w:style w:type="paragraph" w:styleId="ListParagraph">
    <w:name w:val="List Paragraph"/>
    <w:basedOn w:val="Normal"/>
    <w:uiPriority w:val="99"/>
    <w:qFormat/>
    <w:rsid w:val="00ED5FAE"/>
    <w:pPr>
      <w:ind w:left="720"/>
      <w:contextualSpacing/>
    </w:pPr>
  </w:style>
  <w:style w:type="paragraph" w:customStyle="1" w:styleId="Default">
    <w:name w:val="Default"/>
    <w:uiPriority w:val="99"/>
    <w:rsid w:val="00CF6B1C"/>
    <w:pPr>
      <w:autoSpaceDE w:val="0"/>
      <w:autoSpaceDN w:val="0"/>
      <w:adjustRightInd w:val="0"/>
    </w:pPr>
    <w:rPr>
      <w:rFonts w:cs="Calibri"/>
      <w:color w:val="000000"/>
      <w:sz w:val="24"/>
      <w:szCs w:val="24"/>
      <w:lang w:val="en-GB"/>
    </w:rPr>
  </w:style>
  <w:style w:type="paragraph" w:styleId="FootnoteText">
    <w:name w:val="footnote text"/>
    <w:basedOn w:val="Normal"/>
    <w:link w:val="FootnoteTextChar"/>
    <w:uiPriority w:val="99"/>
    <w:semiHidden/>
    <w:rsid w:val="00E139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3902"/>
    <w:rPr>
      <w:rFonts w:cs="Times New Roman"/>
      <w:sz w:val="20"/>
      <w:szCs w:val="20"/>
    </w:rPr>
  </w:style>
  <w:style w:type="character" w:styleId="FootnoteReference">
    <w:name w:val="footnote reference"/>
    <w:basedOn w:val="DefaultParagraphFont"/>
    <w:uiPriority w:val="99"/>
    <w:semiHidden/>
    <w:rsid w:val="00E13902"/>
    <w:rPr>
      <w:rFonts w:cs="Times New Roman"/>
      <w:vertAlign w:val="superscript"/>
    </w:rPr>
  </w:style>
  <w:style w:type="paragraph" w:customStyle="1" w:styleId="positionpaper">
    <w:name w:val="positionpaper"/>
    <w:basedOn w:val="Title"/>
    <w:link w:val="positionpaperChar"/>
    <w:uiPriority w:val="99"/>
    <w:rsid w:val="00EF2F88"/>
    <w:pPr>
      <w:jc w:val="both"/>
    </w:pPr>
    <w:rPr>
      <w:rFonts w:ascii="Calibri" w:hAnsi="Calibri"/>
      <w:b/>
      <w:color w:val="auto"/>
      <w:sz w:val="24"/>
      <w:szCs w:val="24"/>
    </w:rPr>
  </w:style>
  <w:style w:type="paragraph" w:styleId="Title">
    <w:name w:val="Title"/>
    <w:basedOn w:val="Normal"/>
    <w:next w:val="Normal"/>
    <w:link w:val="TitleChar"/>
    <w:uiPriority w:val="99"/>
    <w:qFormat/>
    <w:rsid w:val="00EF2F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F2F88"/>
    <w:rPr>
      <w:rFonts w:ascii="Cambria" w:hAnsi="Cambria" w:cs="Times New Roman"/>
      <w:color w:val="17365D"/>
      <w:spacing w:val="5"/>
      <w:kern w:val="28"/>
      <w:sz w:val="52"/>
      <w:szCs w:val="52"/>
    </w:rPr>
  </w:style>
  <w:style w:type="character" w:customStyle="1" w:styleId="positionpaperChar">
    <w:name w:val="positionpaper Char"/>
    <w:basedOn w:val="TitleChar"/>
    <w:link w:val="positionpaper"/>
    <w:uiPriority w:val="99"/>
    <w:locked/>
    <w:rsid w:val="00EF2F88"/>
    <w:rPr>
      <w:rFonts w:ascii="Calibri" w:hAnsi="Calibri" w:cs="Times New Roman"/>
      <w:b/>
      <w:color w:val="17365D"/>
      <w:spacing w:val="5"/>
      <w:kern w:val="28"/>
      <w:sz w:val="24"/>
      <w:szCs w:val="24"/>
    </w:rPr>
  </w:style>
  <w:style w:type="table" w:styleId="TableGrid">
    <w:name w:val="Table Grid"/>
    <w:basedOn w:val="TableNormal"/>
    <w:uiPriority w:val="59"/>
    <w:rsid w:val="000356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67B5C"/>
    <w:rPr>
      <w:rFonts w:cs="Times New Roman"/>
      <w:color w:val="0000FF"/>
      <w:u w:val="single"/>
    </w:rPr>
  </w:style>
  <w:style w:type="character" w:styleId="FollowedHyperlink">
    <w:name w:val="FollowedHyperlink"/>
    <w:basedOn w:val="DefaultParagraphFont"/>
    <w:uiPriority w:val="99"/>
    <w:semiHidden/>
    <w:rsid w:val="00967B5C"/>
    <w:rPr>
      <w:rFonts w:cs="Times New Roman"/>
      <w:color w:val="800080"/>
      <w:u w:val="single"/>
    </w:rPr>
  </w:style>
  <w:style w:type="paragraph" w:customStyle="1" w:styleId="Style1">
    <w:name w:val="Style1"/>
    <w:basedOn w:val="Normal"/>
    <w:link w:val="Style1Char"/>
    <w:uiPriority w:val="99"/>
    <w:rsid w:val="00927355"/>
    <w:pPr>
      <w:pBdr>
        <w:bottom w:val="single" w:sz="4" w:space="1" w:color="auto"/>
      </w:pBdr>
      <w:spacing w:line="240" w:lineRule="auto"/>
      <w:jc w:val="center"/>
    </w:pPr>
    <w:rPr>
      <w:b/>
      <w:sz w:val="24"/>
      <w:szCs w:val="24"/>
    </w:rPr>
  </w:style>
  <w:style w:type="character" w:customStyle="1" w:styleId="Style1Char">
    <w:name w:val="Style1 Char"/>
    <w:basedOn w:val="DefaultParagraphFont"/>
    <w:link w:val="Style1"/>
    <w:uiPriority w:val="99"/>
    <w:locked/>
    <w:rsid w:val="00927355"/>
    <w:rPr>
      <w:rFonts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4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66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F6636"/>
    <w:rPr>
      <w:rFonts w:cs="Times New Roman"/>
    </w:rPr>
  </w:style>
  <w:style w:type="paragraph" w:styleId="Footer">
    <w:name w:val="footer"/>
    <w:basedOn w:val="Normal"/>
    <w:link w:val="FooterChar"/>
    <w:uiPriority w:val="99"/>
    <w:rsid w:val="00AF66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F6636"/>
    <w:rPr>
      <w:rFonts w:cs="Times New Roman"/>
    </w:rPr>
  </w:style>
  <w:style w:type="character" w:styleId="PlaceholderText">
    <w:name w:val="Placeholder Text"/>
    <w:basedOn w:val="DefaultParagraphFont"/>
    <w:uiPriority w:val="99"/>
    <w:semiHidden/>
    <w:rsid w:val="00AF6636"/>
    <w:rPr>
      <w:rFonts w:cs="Times New Roman"/>
      <w:color w:val="808080"/>
    </w:rPr>
  </w:style>
  <w:style w:type="paragraph" w:styleId="BalloonText">
    <w:name w:val="Balloon Text"/>
    <w:basedOn w:val="Normal"/>
    <w:link w:val="BalloonTextChar"/>
    <w:uiPriority w:val="99"/>
    <w:semiHidden/>
    <w:rsid w:val="00AF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636"/>
    <w:rPr>
      <w:rFonts w:ascii="Tahoma" w:hAnsi="Tahoma" w:cs="Tahoma"/>
      <w:sz w:val="16"/>
      <w:szCs w:val="16"/>
    </w:rPr>
  </w:style>
  <w:style w:type="paragraph" w:styleId="ListParagraph">
    <w:name w:val="List Paragraph"/>
    <w:basedOn w:val="Normal"/>
    <w:uiPriority w:val="99"/>
    <w:qFormat/>
    <w:rsid w:val="00ED5FAE"/>
    <w:pPr>
      <w:ind w:left="720"/>
      <w:contextualSpacing/>
    </w:pPr>
  </w:style>
  <w:style w:type="paragraph" w:customStyle="1" w:styleId="Default">
    <w:name w:val="Default"/>
    <w:uiPriority w:val="99"/>
    <w:rsid w:val="00CF6B1C"/>
    <w:pPr>
      <w:autoSpaceDE w:val="0"/>
      <w:autoSpaceDN w:val="0"/>
      <w:adjustRightInd w:val="0"/>
    </w:pPr>
    <w:rPr>
      <w:rFonts w:cs="Calibri"/>
      <w:color w:val="000000"/>
      <w:sz w:val="24"/>
      <w:szCs w:val="24"/>
      <w:lang w:val="en-GB"/>
    </w:rPr>
  </w:style>
  <w:style w:type="paragraph" w:styleId="FootnoteText">
    <w:name w:val="footnote text"/>
    <w:basedOn w:val="Normal"/>
    <w:link w:val="FootnoteTextChar"/>
    <w:uiPriority w:val="99"/>
    <w:semiHidden/>
    <w:rsid w:val="00E139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3902"/>
    <w:rPr>
      <w:rFonts w:cs="Times New Roman"/>
      <w:sz w:val="20"/>
      <w:szCs w:val="20"/>
    </w:rPr>
  </w:style>
  <w:style w:type="character" w:styleId="FootnoteReference">
    <w:name w:val="footnote reference"/>
    <w:basedOn w:val="DefaultParagraphFont"/>
    <w:uiPriority w:val="99"/>
    <w:semiHidden/>
    <w:rsid w:val="00E13902"/>
    <w:rPr>
      <w:rFonts w:cs="Times New Roman"/>
      <w:vertAlign w:val="superscript"/>
    </w:rPr>
  </w:style>
  <w:style w:type="paragraph" w:customStyle="1" w:styleId="positionpaper">
    <w:name w:val="positionpaper"/>
    <w:basedOn w:val="Title"/>
    <w:link w:val="positionpaperChar"/>
    <w:uiPriority w:val="99"/>
    <w:rsid w:val="00EF2F88"/>
    <w:pPr>
      <w:jc w:val="both"/>
    </w:pPr>
    <w:rPr>
      <w:rFonts w:ascii="Calibri" w:hAnsi="Calibri"/>
      <w:b/>
      <w:color w:val="auto"/>
      <w:sz w:val="24"/>
      <w:szCs w:val="24"/>
    </w:rPr>
  </w:style>
  <w:style w:type="paragraph" w:styleId="Title">
    <w:name w:val="Title"/>
    <w:basedOn w:val="Normal"/>
    <w:next w:val="Normal"/>
    <w:link w:val="TitleChar"/>
    <w:uiPriority w:val="99"/>
    <w:qFormat/>
    <w:rsid w:val="00EF2F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F2F88"/>
    <w:rPr>
      <w:rFonts w:ascii="Cambria" w:hAnsi="Cambria" w:cs="Times New Roman"/>
      <w:color w:val="17365D"/>
      <w:spacing w:val="5"/>
      <w:kern w:val="28"/>
      <w:sz w:val="52"/>
      <w:szCs w:val="52"/>
    </w:rPr>
  </w:style>
  <w:style w:type="character" w:customStyle="1" w:styleId="positionpaperChar">
    <w:name w:val="positionpaper Char"/>
    <w:basedOn w:val="TitleChar"/>
    <w:link w:val="positionpaper"/>
    <w:uiPriority w:val="99"/>
    <w:locked/>
    <w:rsid w:val="00EF2F88"/>
    <w:rPr>
      <w:rFonts w:ascii="Calibri" w:hAnsi="Calibri" w:cs="Times New Roman"/>
      <w:b/>
      <w:color w:val="17365D"/>
      <w:spacing w:val="5"/>
      <w:kern w:val="28"/>
      <w:sz w:val="24"/>
      <w:szCs w:val="24"/>
    </w:rPr>
  </w:style>
  <w:style w:type="table" w:styleId="TableGrid">
    <w:name w:val="Table Grid"/>
    <w:basedOn w:val="TableNormal"/>
    <w:uiPriority w:val="59"/>
    <w:rsid w:val="000356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67B5C"/>
    <w:rPr>
      <w:rFonts w:cs="Times New Roman"/>
      <w:color w:val="0000FF"/>
      <w:u w:val="single"/>
    </w:rPr>
  </w:style>
  <w:style w:type="character" w:styleId="FollowedHyperlink">
    <w:name w:val="FollowedHyperlink"/>
    <w:basedOn w:val="DefaultParagraphFont"/>
    <w:uiPriority w:val="99"/>
    <w:semiHidden/>
    <w:rsid w:val="00967B5C"/>
    <w:rPr>
      <w:rFonts w:cs="Times New Roman"/>
      <w:color w:val="800080"/>
      <w:u w:val="single"/>
    </w:rPr>
  </w:style>
  <w:style w:type="paragraph" w:customStyle="1" w:styleId="Style1">
    <w:name w:val="Style1"/>
    <w:basedOn w:val="Normal"/>
    <w:link w:val="Style1Char"/>
    <w:uiPriority w:val="99"/>
    <w:rsid w:val="00927355"/>
    <w:pPr>
      <w:pBdr>
        <w:bottom w:val="single" w:sz="4" w:space="1" w:color="auto"/>
      </w:pBdr>
      <w:spacing w:line="240" w:lineRule="auto"/>
      <w:jc w:val="center"/>
    </w:pPr>
    <w:rPr>
      <w:b/>
      <w:sz w:val="24"/>
      <w:szCs w:val="24"/>
    </w:rPr>
  </w:style>
  <w:style w:type="character" w:customStyle="1" w:styleId="Style1Char">
    <w:name w:val="Style1 Char"/>
    <w:basedOn w:val="DefaultParagraphFont"/>
    <w:link w:val="Style1"/>
    <w:uiPriority w:val="99"/>
    <w:locked/>
    <w:rsid w:val="00927355"/>
    <w:rPr>
      <w:rFonts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mentorfoundation.org/uploads/pictures/Flag-of-Europe-150.pn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patient.eu/Documents/Press/PressReleases/EPF-Press-Release-Adherence-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95D3-643D-41A9-862D-A4B0F44B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Patients’ Right in Cross Border Healthcare- a patient centred implementation- EPF draft position paper</vt:lpstr>
    </vt:vector>
  </TitlesOfParts>
  <Company>HP</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Right in Cross Border Healthcare- a patient centred implementation- EPF draft position paper</dc:title>
  <dc:creator>Policy</dc:creator>
  <cp:lastModifiedBy>Roberta Savli</cp:lastModifiedBy>
  <cp:revision>2</cp:revision>
  <cp:lastPrinted>2011-10-18T10:07:00Z</cp:lastPrinted>
  <dcterms:created xsi:type="dcterms:W3CDTF">2012-10-11T09:28:00Z</dcterms:created>
  <dcterms:modified xsi:type="dcterms:W3CDTF">2012-10-11T09:28:00Z</dcterms:modified>
</cp:coreProperties>
</file>