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EE" w:rsidRDefault="009049EE">
      <w:r>
        <w:rPr>
          <w:rFonts w:cs="Arial"/>
          <w:noProof/>
          <w:lang w:val="nl-BE" w:eastAsia="nl-BE"/>
        </w:rPr>
        <w:drawing>
          <wp:inline distT="0" distB="0" distL="0" distR="0">
            <wp:extent cx="2647950" cy="1057275"/>
            <wp:effectExtent l="19050" t="0" r="0" b="0"/>
            <wp:docPr id="1" name="Picture 1" descr="EFA Logo New Blu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A Logo New Blu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9EE" w:rsidRPr="00FA525E" w:rsidRDefault="009049EE" w:rsidP="00904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sz w:val="24"/>
          <w:szCs w:val="24"/>
        </w:rPr>
      </w:pPr>
      <w:r w:rsidRPr="00FA525E">
        <w:rPr>
          <w:b/>
          <w:sz w:val="24"/>
          <w:szCs w:val="24"/>
        </w:rPr>
        <w:t>European Federation of Allergy and Airways Diseases Patients’ Associations (EFA) Training</w:t>
      </w:r>
    </w:p>
    <w:p w:rsidR="009049EE" w:rsidRPr="00FA525E" w:rsidRDefault="009049EE" w:rsidP="00904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sz w:val="24"/>
          <w:szCs w:val="24"/>
        </w:rPr>
      </w:pPr>
      <w:r w:rsidRPr="00FA525E">
        <w:rPr>
          <w:b/>
          <w:sz w:val="24"/>
          <w:szCs w:val="24"/>
        </w:rPr>
        <w:t>“Meet and Greet the European Union (EU) Institutions”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915"/>
        <w:gridCol w:w="7661"/>
      </w:tblGrid>
      <w:tr w:rsidR="003D12AD" w:rsidTr="009049EE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B4483E" w:rsidRDefault="009049EE" w:rsidP="009049EE">
            <w:pPr>
              <w:spacing w:before="120" w:after="120"/>
              <w:jc w:val="both"/>
            </w:pPr>
            <w:r w:rsidRPr="009049EE">
              <w:rPr>
                <w:color w:val="0070C0"/>
                <w:u w:val="single"/>
              </w:rPr>
              <w:t>D</w:t>
            </w:r>
            <w:r w:rsidR="00B4483E" w:rsidRPr="009049EE">
              <w:rPr>
                <w:color w:val="0070C0"/>
                <w:u w:val="single"/>
              </w:rPr>
              <w:t>ate:</w:t>
            </w:r>
            <w:r w:rsidR="00B4483E">
              <w:t xml:space="preserve"> </w:t>
            </w:r>
            <w:r w:rsidR="003846A3">
              <w:t>20</w:t>
            </w:r>
            <w:r w:rsidR="001E05BC" w:rsidRPr="001E05BC">
              <w:rPr>
                <w:vertAlign w:val="superscript"/>
              </w:rPr>
              <w:t>th</w:t>
            </w:r>
            <w:r w:rsidR="001E05BC">
              <w:t>-2</w:t>
            </w:r>
            <w:r w:rsidR="003846A3">
              <w:t>1</w:t>
            </w:r>
            <w:r w:rsidR="003846A3" w:rsidRPr="003846A3">
              <w:rPr>
                <w:vertAlign w:val="superscript"/>
              </w:rPr>
              <w:t>st</w:t>
            </w:r>
            <w:r w:rsidR="00850C99">
              <w:t xml:space="preserve"> </w:t>
            </w:r>
            <w:r w:rsidR="001E05BC">
              <w:t>of March</w:t>
            </w:r>
            <w:r w:rsidR="00850C99">
              <w:t xml:space="preserve"> for one and a half day</w:t>
            </w:r>
          </w:p>
          <w:p w:rsidR="009049EE" w:rsidRDefault="009049EE" w:rsidP="009049EE">
            <w:pPr>
              <w:spacing w:before="120" w:after="120"/>
              <w:jc w:val="both"/>
            </w:pPr>
          </w:p>
          <w:p w:rsidR="00707E86" w:rsidRDefault="00B4483E" w:rsidP="009049EE">
            <w:pPr>
              <w:spacing w:before="120" w:after="120"/>
              <w:ind w:left="993" w:hanging="993"/>
              <w:jc w:val="both"/>
            </w:pPr>
            <w:r w:rsidRPr="009049EE">
              <w:rPr>
                <w:color w:val="0070C0"/>
                <w:u w:val="single"/>
              </w:rPr>
              <w:t>Rationale:</w:t>
            </w:r>
            <w:r>
              <w:t xml:space="preserve"> Thanks to this event</w:t>
            </w:r>
            <w:r w:rsidR="00D82881">
              <w:t xml:space="preserve">, </w:t>
            </w:r>
            <w:r>
              <w:t>EFA members will have the opportunity to come to Brussels for one and a half day and to have a general overview of how the EU</w:t>
            </w:r>
            <w:r w:rsidR="00707E86">
              <w:t xml:space="preserve"> works and of its policies </w:t>
            </w:r>
            <w:r w:rsidR="007C7EA5">
              <w:t>that are related indirectly or directly to people with allergy, asthma and COPD</w:t>
            </w:r>
            <w:r w:rsidR="00A36FF0">
              <w:t xml:space="preserve"> in Europe</w:t>
            </w:r>
            <w:r w:rsidR="007C7EA5">
              <w:t xml:space="preserve">. They will also have the opportunity </w:t>
            </w:r>
            <w:r w:rsidR="00D82881">
              <w:t xml:space="preserve">to </w:t>
            </w:r>
            <w:r w:rsidR="005E6C14">
              <w:t>dig deeper i</w:t>
            </w:r>
            <w:r w:rsidR="007C7EA5">
              <w:t>n a case study, a legislati</w:t>
            </w:r>
            <w:r w:rsidR="00D82881">
              <w:t>ve text</w:t>
            </w:r>
            <w:r w:rsidR="007C7EA5">
              <w:t xml:space="preserve"> under review</w:t>
            </w:r>
            <w:r w:rsidR="00707E86">
              <w:t xml:space="preserve">. </w:t>
            </w:r>
            <w:r w:rsidR="007C7EA5">
              <w:t>They will meet and greet key people at the Commission working on issues important to them and MEP</w:t>
            </w:r>
            <w:r w:rsidR="00D82881">
              <w:t>s</w:t>
            </w:r>
            <w:r w:rsidR="007C7EA5">
              <w:t xml:space="preserve"> from their country. </w:t>
            </w:r>
            <w:r w:rsidR="00D82881">
              <w:t>As a result,</w:t>
            </w:r>
            <w:r w:rsidR="00A36FF0">
              <w:t xml:space="preserve"> they</w:t>
            </w:r>
            <w:r w:rsidR="00707E86">
              <w:t xml:space="preserve"> will better understand how the EU policies channel the decision</w:t>
            </w:r>
            <w:r w:rsidR="00D82881">
              <w:t>s</w:t>
            </w:r>
            <w:r w:rsidR="00707E86">
              <w:t xml:space="preserve"> of the national governments and how</w:t>
            </w:r>
            <w:r w:rsidR="007C7EA5">
              <w:t xml:space="preserve"> with</w:t>
            </w:r>
            <w:r w:rsidR="00707E86">
              <w:t xml:space="preserve"> EFA, patients’ associations can </w:t>
            </w:r>
            <w:r w:rsidR="00D82881">
              <w:t>contribute to</w:t>
            </w:r>
            <w:r w:rsidR="00707E86">
              <w:t xml:space="preserve"> the EU decision-making process.</w:t>
            </w:r>
          </w:p>
          <w:p w:rsidR="009049EE" w:rsidRDefault="009049EE" w:rsidP="00707E86">
            <w:pPr>
              <w:spacing w:before="120" w:after="120"/>
              <w:ind w:left="993" w:hanging="993"/>
              <w:jc w:val="both"/>
              <w:rPr>
                <w:b/>
                <w:color w:val="0070C0"/>
                <w:sz w:val="24"/>
                <w:szCs w:val="24"/>
              </w:rPr>
            </w:pPr>
          </w:p>
          <w:p w:rsidR="009049EE" w:rsidRDefault="009049EE" w:rsidP="009049EE">
            <w:pPr>
              <w:spacing w:before="120" w:after="120"/>
              <w:ind w:left="993" w:hanging="993"/>
              <w:jc w:val="center"/>
              <w:rPr>
                <w:b/>
                <w:color w:val="0070C0"/>
                <w:sz w:val="24"/>
                <w:szCs w:val="24"/>
              </w:rPr>
            </w:pPr>
            <w:r w:rsidRPr="009049EE">
              <w:rPr>
                <w:b/>
                <w:color w:val="0070C0"/>
                <w:sz w:val="24"/>
                <w:szCs w:val="24"/>
              </w:rPr>
              <w:t>Agenda</w:t>
            </w:r>
          </w:p>
          <w:p w:rsidR="009049EE" w:rsidRDefault="009049EE" w:rsidP="009049EE">
            <w:pPr>
              <w:spacing w:before="120" w:after="120"/>
              <w:jc w:val="both"/>
            </w:pPr>
          </w:p>
        </w:tc>
      </w:tr>
      <w:tr w:rsidR="003B5A5A" w:rsidTr="009049EE">
        <w:tc>
          <w:tcPr>
            <w:tcW w:w="9576" w:type="dxa"/>
            <w:gridSpan w:val="2"/>
            <w:shd w:val="clear" w:color="auto" w:fill="DAEEF3" w:themeFill="accent5" w:themeFillTint="33"/>
          </w:tcPr>
          <w:p w:rsidR="003B5A5A" w:rsidRPr="00FA525E" w:rsidRDefault="003B5A5A" w:rsidP="000F20F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FA525E">
              <w:rPr>
                <w:b/>
                <w:sz w:val="24"/>
                <w:szCs w:val="24"/>
              </w:rPr>
              <w:t>Day 0</w:t>
            </w:r>
            <w:r w:rsidR="003846A3">
              <w:rPr>
                <w:b/>
                <w:sz w:val="24"/>
                <w:szCs w:val="24"/>
              </w:rPr>
              <w:t xml:space="preserve"> – 19</w:t>
            </w:r>
            <w:r w:rsidR="003846A3" w:rsidRPr="003846A3">
              <w:rPr>
                <w:b/>
                <w:sz w:val="24"/>
                <w:szCs w:val="24"/>
                <w:vertAlign w:val="superscript"/>
              </w:rPr>
              <w:t>th</w:t>
            </w:r>
            <w:r w:rsidR="003846A3">
              <w:rPr>
                <w:b/>
                <w:sz w:val="24"/>
                <w:szCs w:val="24"/>
              </w:rPr>
              <w:t xml:space="preserve"> of March (Monday)</w:t>
            </w:r>
          </w:p>
        </w:tc>
      </w:tr>
      <w:tr w:rsidR="00707E86" w:rsidRPr="00B2238D" w:rsidTr="009049EE">
        <w:tc>
          <w:tcPr>
            <w:tcW w:w="9576" w:type="dxa"/>
            <w:gridSpan w:val="2"/>
            <w:shd w:val="clear" w:color="auto" w:fill="DAEEF3" w:themeFill="accent5" w:themeFillTint="33"/>
          </w:tcPr>
          <w:p w:rsidR="00707E86" w:rsidRPr="007C7EA5" w:rsidRDefault="00707E86" w:rsidP="00A36FF0">
            <w:pPr>
              <w:spacing w:before="120" w:after="120"/>
              <w:jc w:val="both"/>
              <w:rPr>
                <w:lang w:val="fr-BE"/>
              </w:rPr>
            </w:pPr>
            <w:r w:rsidRPr="007C7EA5">
              <w:rPr>
                <w:u w:val="single"/>
                <w:lang w:val="fr-BE"/>
              </w:rPr>
              <w:t>Tentative venue:</w:t>
            </w:r>
            <w:r w:rsidRPr="007C7EA5">
              <w:rPr>
                <w:lang w:val="fr-BE"/>
              </w:rPr>
              <w:t xml:space="preserve"> </w:t>
            </w:r>
            <w:proofErr w:type="spellStart"/>
            <w:r w:rsidRPr="007C7EA5">
              <w:rPr>
                <w:lang w:val="fr-BE"/>
              </w:rPr>
              <w:t>Hotel</w:t>
            </w:r>
            <w:proofErr w:type="spellEnd"/>
            <w:r w:rsidRPr="007C7EA5">
              <w:rPr>
                <w:lang w:val="fr-BE"/>
              </w:rPr>
              <w:t xml:space="preserve"> du Congres (</w:t>
            </w:r>
            <w:hyperlink r:id="rId8" w:history="1">
              <w:r w:rsidRPr="007C7EA5">
                <w:rPr>
                  <w:rStyle w:val="Hyperlink"/>
                  <w:lang w:val="fr-BE"/>
                </w:rPr>
                <w:t>42, Rue du Congres – B-1000, Brussels</w:t>
              </w:r>
            </w:hyperlink>
            <w:r w:rsidRPr="007C7EA5">
              <w:rPr>
                <w:rStyle w:val="jqtooltip"/>
                <w:lang w:val="fr-BE"/>
              </w:rPr>
              <w:t>)</w:t>
            </w:r>
          </w:p>
        </w:tc>
      </w:tr>
      <w:tr w:rsidR="003D12AD" w:rsidTr="00F3212D">
        <w:tc>
          <w:tcPr>
            <w:tcW w:w="1915" w:type="dxa"/>
            <w:shd w:val="clear" w:color="auto" w:fill="auto"/>
          </w:tcPr>
          <w:p w:rsidR="003D12AD" w:rsidRDefault="00707E86" w:rsidP="000F20F4">
            <w:pPr>
              <w:spacing w:before="120" w:after="120"/>
              <w:jc w:val="both"/>
            </w:pPr>
            <w:r>
              <w:t>Late afternoon</w:t>
            </w:r>
          </w:p>
        </w:tc>
        <w:tc>
          <w:tcPr>
            <w:tcW w:w="7661" w:type="dxa"/>
            <w:shd w:val="clear" w:color="auto" w:fill="auto"/>
          </w:tcPr>
          <w:p w:rsidR="003D12AD" w:rsidRDefault="003D12AD" w:rsidP="000F20F4">
            <w:pPr>
              <w:spacing w:before="120" w:after="120"/>
              <w:jc w:val="both"/>
            </w:pPr>
            <w:r>
              <w:t xml:space="preserve">Arrival </w:t>
            </w:r>
            <w:r w:rsidR="00707E86">
              <w:t xml:space="preserve">of the members </w:t>
            </w:r>
          </w:p>
          <w:p w:rsidR="00551EF1" w:rsidRDefault="00A36FF0" w:rsidP="000F20F4">
            <w:pPr>
              <w:spacing w:before="120" w:after="120"/>
              <w:jc w:val="both"/>
            </w:pPr>
            <w:r>
              <w:t>Optional</w:t>
            </w:r>
            <w:r w:rsidR="00551EF1">
              <w:t xml:space="preserve"> visit of the </w:t>
            </w:r>
            <w:hyperlink r:id="rId9" w:history="1">
              <w:proofErr w:type="spellStart"/>
              <w:r w:rsidR="00551EF1" w:rsidRPr="00551EF1">
                <w:rPr>
                  <w:rStyle w:val="Hyperlink"/>
                </w:rPr>
                <w:t>Parlamentarium</w:t>
              </w:r>
              <w:proofErr w:type="spellEnd"/>
            </w:hyperlink>
            <w:r w:rsidR="005E6C14">
              <w:t>, European Parliament</w:t>
            </w:r>
            <w:r>
              <w:t xml:space="preserve"> new interactive learning centre</w:t>
            </w:r>
          </w:p>
        </w:tc>
      </w:tr>
      <w:tr w:rsidR="003D12AD" w:rsidTr="009049EE">
        <w:tc>
          <w:tcPr>
            <w:tcW w:w="191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3D12AD" w:rsidRDefault="00707E86" w:rsidP="000F20F4">
            <w:pPr>
              <w:spacing w:before="120" w:after="120"/>
              <w:jc w:val="both"/>
            </w:pPr>
            <w:r>
              <w:t>Evening</w:t>
            </w:r>
          </w:p>
        </w:tc>
        <w:tc>
          <w:tcPr>
            <w:tcW w:w="7661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3D12AD" w:rsidRDefault="00707E86" w:rsidP="000F20F4">
            <w:pPr>
              <w:spacing w:before="120" w:after="120"/>
              <w:jc w:val="both"/>
            </w:pPr>
            <w:r>
              <w:t>D</w:t>
            </w:r>
            <w:r w:rsidR="003D12AD">
              <w:t>inner</w:t>
            </w:r>
          </w:p>
        </w:tc>
      </w:tr>
      <w:tr w:rsidR="003B5A5A" w:rsidTr="009049EE">
        <w:tc>
          <w:tcPr>
            <w:tcW w:w="9576" w:type="dxa"/>
            <w:gridSpan w:val="2"/>
            <w:shd w:val="clear" w:color="auto" w:fill="DAEEF3" w:themeFill="accent5" w:themeFillTint="33"/>
          </w:tcPr>
          <w:p w:rsidR="003B5A5A" w:rsidRPr="00FA525E" w:rsidRDefault="003B5A5A" w:rsidP="000F20F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FA525E">
              <w:rPr>
                <w:b/>
                <w:sz w:val="24"/>
                <w:szCs w:val="24"/>
              </w:rPr>
              <w:t>Day 1</w:t>
            </w:r>
            <w:r w:rsidR="003846A3">
              <w:rPr>
                <w:b/>
                <w:sz w:val="24"/>
                <w:szCs w:val="24"/>
              </w:rPr>
              <w:t xml:space="preserve"> – 20</w:t>
            </w:r>
            <w:r w:rsidR="003846A3" w:rsidRPr="003846A3">
              <w:rPr>
                <w:b/>
                <w:sz w:val="24"/>
                <w:szCs w:val="24"/>
                <w:vertAlign w:val="superscript"/>
              </w:rPr>
              <w:t>th</w:t>
            </w:r>
            <w:r w:rsidR="003846A3">
              <w:rPr>
                <w:b/>
                <w:sz w:val="24"/>
                <w:szCs w:val="24"/>
              </w:rPr>
              <w:t xml:space="preserve"> of March (Tuesday)</w:t>
            </w:r>
          </w:p>
        </w:tc>
      </w:tr>
      <w:tr w:rsidR="003B5A5A" w:rsidRPr="00B2238D" w:rsidTr="009049EE">
        <w:tc>
          <w:tcPr>
            <w:tcW w:w="9576" w:type="dxa"/>
            <w:gridSpan w:val="2"/>
            <w:shd w:val="clear" w:color="auto" w:fill="DAEEF3" w:themeFill="accent5" w:themeFillTint="33"/>
          </w:tcPr>
          <w:p w:rsidR="003B5A5A" w:rsidRPr="007C7EA5" w:rsidRDefault="00707E86" w:rsidP="00D82881">
            <w:pPr>
              <w:spacing w:before="120" w:after="120"/>
              <w:jc w:val="both"/>
              <w:rPr>
                <w:lang w:val="fr-BE"/>
              </w:rPr>
            </w:pPr>
            <w:r w:rsidRPr="007C7EA5">
              <w:rPr>
                <w:u w:val="single"/>
                <w:lang w:val="fr-BE"/>
              </w:rPr>
              <w:t>Venue:</w:t>
            </w:r>
            <w:r w:rsidRPr="007C7EA5">
              <w:rPr>
                <w:lang w:val="fr-BE"/>
              </w:rPr>
              <w:t xml:space="preserve"> </w:t>
            </w:r>
            <w:r w:rsidR="00B64AC5">
              <w:rPr>
                <w:lang w:val="fr-BE"/>
              </w:rPr>
              <w:t>EFA</w:t>
            </w:r>
            <w:r w:rsidR="00B64AC5" w:rsidRPr="007C7EA5">
              <w:rPr>
                <w:lang w:val="fr-BE"/>
              </w:rPr>
              <w:t xml:space="preserve"> office (</w:t>
            </w:r>
            <w:hyperlink r:id="rId10" w:history="1">
              <w:r w:rsidR="00B64AC5" w:rsidRPr="007C7EA5">
                <w:rPr>
                  <w:rStyle w:val="Hyperlink"/>
                  <w:lang w:val="fr-BE"/>
                </w:rPr>
                <w:t>35, Rue du Congres – B-1000, Brussels</w:t>
              </w:r>
            </w:hyperlink>
            <w:r w:rsidR="00B64AC5" w:rsidRPr="00490877">
              <w:rPr>
                <w:lang w:val="fr-BE"/>
              </w:rPr>
              <w:t>)</w:t>
            </w:r>
          </w:p>
        </w:tc>
      </w:tr>
      <w:tr w:rsidR="00B66327" w:rsidTr="00F3212D">
        <w:tc>
          <w:tcPr>
            <w:tcW w:w="1915" w:type="dxa"/>
            <w:shd w:val="clear" w:color="auto" w:fill="auto"/>
          </w:tcPr>
          <w:p w:rsidR="00B66327" w:rsidRDefault="00B66327" w:rsidP="000F20F4">
            <w:pPr>
              <w:spacing w:before="120" w:after="120"/>
              <w:jc w:val="both"/>
            </w:pPr>
            <w:r>
              <w:t>09:30</w:t>
            </w:r>
          </w:p>
        </w:tc>
        <w:tc>
          <w:tcPr>
            <w:tcW w:w="7661" w:type="dxa"/>
            <w:shd w:val="clear" w:color="auto" w:fill="auto"/>
          </w:tcPr>
          <w:p w:rsidR="00B66327" w:rsidRDefault="00B66327" w:rsidP="00A36FF0">
            <w:pPr>
              <w:spacing w:before="120" w:after="120"/>
              <w:jc w:val="both"/>
            </w:pPr>
            <w:r>
              <w:t xml:space="preserve">Welcome </w:t>
            </w:r>
            <w:r w:rsidR="00A36FF0">
              <w:t xml:space="preserve">by </w:t>
            </w:r>
            <w:r w:rsidRPr="00A9615A">
              <w:rPr>
                <w:b/>
              </w:rPr>
              <w:t>Susanna Palkonen, EFA Executive Officer</w:t>
            </w:r>
          </w:p>
        </w:tc>
      </w:tr>
      <w:tr w:rsidR="003D12AD" w:rsidTr="00F3212D">
        <w:tc>
          <w:tcPr>
            <w:tcW w:w="1915" w:type="dxa"/>
            <w:shd w:val="clear" w:color="auto" w:fill="auto"/>
          </w:tcPr>
          <w:p w:rsidR="003D12AD" w:rsidRDefault="00B66327" w:rsidP="000F20F4">
            <w:pPr>
              <w:spacing w:before="120" w:after="120"/>
              <w:jc w:val="both"/>
            </w:pPr>
            <w:r>
              <w:t>09:50</w:t>
            </w:r>
          </w:p>
        </w:tc>
        <w:tc>
          <w:tcPr>
            <w:tcW w:w="7661" w:type="dxa"/>
            <w:shd w:val="clear" w:color="auto" w:fill="auto"/>
          </w:tcPr>
          <w:p w:rsidR="003D12AD" w:rsidRPr="00A9615A" w:rsidRDefault="00B66327" w:rsidP="000F20F4">
            <w:pPr>
              <w:spacing w:before="120" w:after="120"/>
              <w:jc w:val="both"/>
              <w:rPr>
                <w:b/>
              </w:rPr>
            </w:pPr>
            <w:r>
              <w:t>First presentation: T</w:t>
            </w:r>
            <w:r w:rsidR="003B5A5A">
              <w:t>he EU</w:t>
            </w:r>
            <w:r w:rsidR="007617F1">
              <w:t xml:space="preserve"> and its functioning </w:t>
            </w:r>
            <w:r w:rsidR="00C36CFF">
              <w:t xml:space="preserve">– </w:t>
            </w:r>
            <w:r w:rsidR="00C36CFF" w:rsidRPr="00A9615A">
              <w:rPr>
                <w:b/>
              </w:rPr>
              <w:t>David Brennan, EFA EU Policy and Project Assistant</w:t>
            </w:r>
          </w:p>
          <w:p w:rsidR="00B66327" w:rsidRDefault="00B66327" w:rsidP="000F20F4">
            <w:pPr>
              <w:spacing w:before="120" w:after="120"/>
              <w:jc w:val="both"/>
            </w:pPr>
            <w:r>
              <w:rPr>
                <w:rFonts w:cstheme="minorHAnsi"/>
              </w:rPr>
              <w:t>→</w:t>
            </w:r>
            <w:r>
              <w:t xml:space="preserve"> The</w:t>
            </w:r>
            <w:r w:rsidR="00717AC0">
              <w:t xml:space="preserve"> supremacy over national legislations and the</w:t>
            </w:r>
            <w:r w:rsidR="007617F1">
              <w:t xml:space="preserve"> “</w:t>
            </w:r>
            <w:r>
              <w:t>institutional triangle</w:t>
            </w:r>
            <w:r w:rsidR="007617F1">
              <w:t>”:</w:t>
            </w:r>
            <w:r w:rsidR="00C52DF7">
              <w:t xml:space="preserve"> </w:t>
            </w:r>
            <w:r w:rsidR="00C52DF7">
              <w:lastRenderedPageBreak/>
              <w:t>Parliament, Council, Commission</w:t>
            </w:r>
            <w:r>
              <w:t xml:space="preserve"> </w:t>
            </w:r>
          </w:p>
          <w:p w:rsidR="00B66327" w:rsidRDefault="00B66327" w:rsidP="000F20F4">
            <w:pPr>
              <w:spacing w:before="120" w:after="120"/>
              <w:jc w:val="both"/>
            </w:pPr>
            <w:r>
              <w:t>Questions and answers</w:t>
            </w:r>
          </w:p>
        </w:tc>
      </w:tr>
      <w:tr w:rsidR="003D12AD" w:rsidTr="00F3212D">
        <w:tc>
          <w:tcPr>
            <w:tcW w:w="1915" w:type="dxa"/>
            <w:shd w:val="clear" w:color="auto" w:fill="auto"/>
          </w:tcPr>
          <w:p w:rsidR="003D12AD" w:rsidRDefault="00B66327" w:rsidP="00A0206D">
            <w:pPr>
              <w:spacing w:before="120" w:after="120"/>
              <w:jc w:val="both"/>
            </w:pPr>
            <w:r>
              <w:lastRenderedPageBreak/>
              <w:t>10:1</w:t>
            </w:r>
            <w:r w:rsidR="00A0206D">
              <w:t>0</w:t>
            </w:r>
          </w:p>
        </w:tc>
        <w:tc>
          <w:tcPr>
            <w:tcW w:w="7661" w:type="dxa"/>
            <w:shd w:val="clear" w:color="auto" w:fill="auto"/>
          </w:tcPr>
          <w:p w:rsidR="003D12AD" w:rsidRPr="00A9615A" w:rsidRDefault="00B66327" w:rsidP="000F20F4">
            <w:pPr>
              <w:spacing w:before="120" w:after="120"/>
              <w:jc w:val="both"/>
              <w:rPr>
                <w:b/>
              </w:rPr>
            </w:pPr>
            <w:r>
              <w:t xml:space="preserve">Second presentation: </w:t>
            </w:r>
            <w:r w:rsidR="003B5A5A">
              <w:t>Health policy in the EU</w:t>
            </w:r>
            <w:r w:rsidR="00C36CFF">
              <w:t xml:space="preserve"> – </w:t>
            </w:r>
            <w:r w:rsidR="00C36CFF" w:rsidRPr="00A9615A">
              <w:rPr>
                <w:b/>
              </w:rPr>
              <w:t>Roberta Savli, EFA EU Policy and Project Officer</w:t>
            </w:r>
          </w:p>
          <w:p w:rsidR="00B66327" w:rsidRDefault="00B66327" w:rsidP="000F20F4">
            <w:pPr>
              <w:spacing w:before="120" w:after="120"/>
              <w:jc w:val="both"/>
            </w:pPr>
            <w:r>
              <w:rPr>
                <w:rFonts w:cstheme="minorHAnsi"/>
              </w:rPr>
              <w:t>→</w:t>
            </w:r>
            <w:r>
              <w:t xml:space="preserve"> </w:t>
            </w:r>
            <w:r w:rsidR="00717AC0">
              <w:t>The novelties</w:t>
            </w:r>
            <w:r w:rsidR="00FE2380">
              <w:t xml:space="preserve"> introduced by the Treaty</w:t>
            </w:r>
            <w:r w:rsidR="00717AC0">
              <w:t xml:space="preserve"> of Lisbon</w:t>
            </w:r>
            <w:r w:rsidR="007617F1">
              <w:t xml:space="preserve"> and</w:t>
            </w:r>
            <w:r w:rsidR="00C52DF7">
              <w:t xml:space="preserve"> how they relate to health</w:t>
            </w:r>
            <w:r w:rsidR="00717AC0">
              <w:t>:</w:t>
            </w:r>
            <w:r w:rsidR="007617F1">
              <w:t xml:space="preserve"> the legal basis,</w:t>
            </w:r>
            <w:r w:rsidR="00FE2380">
              <w:t xml:space="preserve"> </w:t>
            </w:r>
            <w:r w:rsidR="00717AC0">
              <w:t>shared competence</w:t>
            </w:r>
            <w:r w:rsidR="00C52DF7">
              <w:t xml:space="preserve"> EU/</w:t>
            </w:r>
            <w:r w:rsidR="007617F1">
              <w:t>M</w:t>
            </w:r>
            <w:r w:rsidR="00C52DF7">
              <w:t xml:space="preserve">ember </w:t>
            </w:r>
            <w:r w:rsidR="007617F1">
              <w:t>S</w:t>
            </w:r>
            <w:r w:rsidR="00C52DF7">
              <w:t>tates</w:t>
            </w:r>
            <w:r w:rsidR="00717AC0">
              <w:t xml:space="preserve"> in case of common safety concerns and a new integration principle </w:t>
            </w:r>
            <w:r w:rsidR="007617F1">
              <w:t xml:space="preserve">– The EU </w:t>
            </w:r>
            <w:r w:rsidR="007617F1" w:rsidRPr="005E6C14">
              <w:t>should take into consideration a</w:t>
            </w:r>
            <w:r w:rsidR="007617F1" w:rsidRPr="005E6C14">
              <w:rPr>
                <w:lang w:val="en-GB"/>
              </w:rPr>
              <w:t xml:space="preserve"> high level of human health protection in the definition and implementation of all its policies and activities</w:t>
            </w:r>
            <w:r w:rsidR="007617F1" w:rsidRPr="007617F1">
              <w:t xml:space="preserve"> </w:t>
            </w:r>
            <w:r w:rsidR="00717AC0">
              <w:t xml:space="preserve">(arts. 9 TUE, 168 TFUE) </w:t>
            </w:r>
          </w:p>
          <w:p w:rsidR="00717AC0" w:rsidRDefault="00717AC0" w:rsidP="000F20F4">
            <w:pPr>
              <w:spacing w:before="120" w:after="120"/>
              <w:jc w:val="both"/>
            </w:pPr>
            <w:r>
              <w:rPr>
                <w:rFonts w:cstheme="minorHAnsi"/>
              </w:rPr>
              <w:t>→ Past actions and possible future developments</w:t>
            </w:r>
            <w:r w:rsidR="00C52DF7">
              <w:rPr>
                <w:rFonts w:cstheme="minorHAnsi"/>
              </w:rPr>
              <w:t xml:space="preserve"> </w:t>
            </w:r>
          </w:p>
          <w:p w:rsidR="00B66327" w:rsidRDefault="00B66327" w:rsidP="000F20F4">
            <w:pPr>
              <w:spacing w:before="120" w:after="120"/>
              <w:jc w:val="both"/>
            </w:pPr>
            <w:r>
              <w:t>Questions and answers</w:t>
            </w:r>
          </w:p>
        </w:tc>
      </w:tr>
      <w:tr w:rsidR="00B66327" w:rsidTr="00F3212D">
        <w:tc>
          <w:tcPr>
            <w:tcW w:w="1915" w:type="dxa"/>
            <w:shd w:val="clear" w:color="auto" w:fill="auto"/>
          </w:tcPr>
          <w:p w:rsidR="00B66327" w:rsidRDefault="00B66327" w:rsidP="000F20F4">
            <w:pPr>
              <w:spacing w:before="120" w:after="120"/>
              <w:jc w:val="both"/>
            </w:pPr>
            <w:r>
              <w:t>10:30</w:t>
            </w:r>
          </w:p>
        </w:tc>
        <w:tc>
          <w:tcPr>
            <w:tcW w:w="7661" w:type="dxa"/>
            <w:shd w:val="clear" w:color="auto" w:fill="auto"/>
          </w:tcPr>
          <w:p w:rsidR="00B66327" w:rsidRDefault="00B66327" w:rsidP="000F20F4">
            <w:pPr>
              <w:spacing w:before="120" w:after="120"/>
              <w:jc w:val="both"/>
            </w:pPr>
            <w:r>
              <w:t>Coffee break</w:t>
            </w:r>
          </w:p>
        </w:tc>
      </w:tr>
      <w:tr w:rsidR="003B5A5A" w:rsidTr="00F3212D">
        <w:tc>
          <w:tcPr>
            <w:tcW w:w="1915" w:type="dxa"/>
            <w:shd w:val="clear" w:color="auto" w:fill="auto"/>
          </w:tcPr>
          <w:p w:rsidR="003B5A5A" w:rsidRDefault="00717AC0" w:rsidP="000F20F4">
            <w:pPr>
              <w:spacing w:before="120" w:after="120"/>
              <w:jc w:val="both"/>
            </w:pPr>
            <w:r>
              <w:t>10:50</w:t>
            </w:r>
          </w:p>
        </w:tc>
        <w:tc>
          <w:tcPr>
            <w:tcW w:w="7661" w:type="dxa"/>
            <w:shd w:val="clear" w:color="auto" w:fill="auto"/>
          </w:tcPr>
          <w:p w:rsidR="005E6C14" w:rsidRDefault="00717AC0" w:rsidP="000F20F4">
            <w:pPr>
              <w:spacing w:before="120" w:after="120"/>
              <w:jc w:val="both"/>
            </w:pPr>
            <w:r>
              <w:t xml:space="preserve">Third presentation: </w:t>
            </w:r>
            <w:r w:rsidR="003B5A5A">
              <w:t xml:space="preserve">How to </w:t>
            </w:r>
            <w:r w:rsidR="007E54F1">
              <w:t xml:space="preserve">engage with </w:t>
            </w:r>
            <w:r w:rsidR="003B5A5A">
              <w:t xml:space="preserve"> the </w:t>
            </w:r>
            <w:r>
              <w:t>decision-making</w:t>
            </w:r>
            <w:r w:rsidR="003B5A5A">
              <w:t xml:space="preserve"> process</w:t>
            </w:r>
            <w:r w:rsidR="002D3CDD">
              <w:t xml:space="preserve"> – </w:t>
            </w:r>
            <w:proofErr w:type="spellStart"/>
            <w:r w:rsidR="002D3CDD">
              <w:rPr>
                <w:b/>
              </w:rPr>
              <w:t>Tamsin</w:t>
            </w:r>
            <w:proofErr w:type="spellEnd"/>
            <w:r w:rsidR="002D3CDD">
              <w:rPr>
                <w:b/>
              </w:rPr>
              <w:t xml:space="preserve"> Rose, </w:t>
            </w:r>
            <w:r w:rsidR="002D3CDD" w:rsidRPr="00A9615A">
              <w:rPr>
                <w:b/>
              </w:rPr>
              <w:t>Director at Progress Works, former Secretary-General of the European Public Health Alliance</w:t>
            </w:r>
          </w:p>
          <w:p w:rsidR="00717AC0" w:rsidRDefault="00717AC0" w:rsidP="000F20F4">
            <w:pPr>
              <w:spacing w:before="120" w:after="120"/>
              <w:jc w:val="both"/>
            </w:pPr>
            <w:r>
              <w:rPr>
                <w:rFonts w:cstheme="minorHAnsi"/>
              </w:rPr>
              <w:t>→</w:t>
            </w:r>
            <w:r>
              <w:t xml:space="preserve"> European Parliament (EP)</w:t>
            </w:r>
            <w:r w:rsidR="007617F1">
              <w:t>:</w:t>
            </w:r>
            <w:r w:rsidR="00C31654">
              <w:t xml:space="preserve"> the legislative process and other initiatives</w:t>
            </w:r>
          </w:p>
          <w:p w:rsidR="00A0206D" w:rsidRDefault="00717AC0" w:rsidP="000F20F4">
            <w:pPr>
              <w:spacing w:before="120" w:after="120"/>
              <w:jc w:val="both"/>
            </w:pPr>
            <w:r>
              <w:rPr>
                <w:rFonts w:cstheme="minorHAnsi"/>
              </w:rPr>
              <w:t xml:space="preserve">→ </w:t>
            </w:r>
            <w:r w:rsidR="00FE2380">
              <w:t>European Commission (EC)</w:t>
            </w:r>
            <w:r w:rsidR="007617F1">
              <w:t>:</w:t>
            </w:r>
            <w:r w:rsidR="00FE2380">
              <w:t xml:space="preserve"> t</w:t>
            </w:r>
            <w:r>
              <w:t xml:space="preserve">he new </w:t>
            </w:r>
            <w:r w:rsidR="00FA525E">
              <w:t>“</w:t>
            </w:r>
            <w:proofErr w:type="spellStart"/>
            <w:r>
              <w:t>comitology</w:t>
            </w:r>
            <w:proofErr w:type="spellEnd"/>
            <w:r w:rsidR="00FA525E">
              <w:t>”</w:t>
            </w:r>
            <w:r>
              <w:rPr>
                <w:rFonts w:cstheme="minorHAnsi"/>
              </w:rPr>
              <w:t xml:space="preserve"> and t</w:t>
            </w:r>
            <w:r>
              <w:t>he implementation of acts</w:t>
            </w:r>
            <w:r w:rsidR="007617F1">
              <w:t xml:space="preserve"> –</w:t>
            </w:r>
            <w:r w:rsidR="00B64AC5">
              <w:t xml:space="preserve"> </w:t>
            </w:r>
            <w:r w:rsidR="00FA525E">
              <w:t>The Commission has the power to implement legally binding acts when</w:t>
            </w:r>
            <w:r w:rsidR="00B64AC5">
              <w:t xml:space="preserve"> uniform conditions for </w:t>
            </w:r>
            <w:r w:rsidR="00FA525E">
              <w:t>their implementation</w:t>
            </w:r>
            <w:r w:rsidR="00B64AC5">
              <w:t xml:space="preserve"> are needed (art. 291 TFEU)</w:t>
            </w:r>
          </w:p>
          <w:p w:rsidR="00717AC0" w:rsidRDefault="00717AC0" w:rsidP="000F20F4">
            <w:pPr>
              <w:spacing w:before="120" w:after="120"/>
              <w:jc w:val="both"/>
            </w:pPr>
            <w:r>
              <w:t>Questions and answers</w:t>
            </w:r>
          </w:p>
        </w:tc>
      </w:tr>
      <w:tr w:rsidR="00F31EAB" w:rsidTr="009049EE">
        <w:tc>
          <w:tcPr>
            <w:tcW w:w="191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F31EAB" w:rsidRDefault="00F31EAB" w:rsidP="000F20F4">
            <w:pPr>
              <w:spacing w:before="120" w:after="120"/>
              <w:jc w:val="both"/>
            </w:pPr>
            <w:r>
              <w:t>12:00</w:t>
            </w:r>
          </w:p>
        </w:tc>
        <w:tc>
          <w:tcPr>
            <w:tcW w:w="7661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F31EAB" w:rsidRDefault="00F31EAB" w:rsidP="000F20F4">
            <w:pPr>
              <w:spacing w:before="120" w:after="120"/>
              <w:jc w:val="both"/>
            </w:pPr>
            <w:r>
              <w:t>Lunch</w:t>
            </w:r>
          </w:p>
        </w:tc>
      </w:tr>
      <w:tr w:rsidR="003B5A5A" w:rsidTr="009049EE">
        <w:tc>
          <w:tcPr>
            <w:tcW w:w="9576" w:type="dxa"/>
            <w:gridSpan w:val="2"/>
            <w:shd w:val="clear" w:color="auto" w:fill="DAEEF3" w:themeFill="accent5" w:themeFillTint="33"/>
          </w:tcPr>
          <w:p w:rsidR="003B5A5A" w:rsidRDefault="00F31EAB" w:rsidP="000F20F4">
            <w:pPr>
              <w:spacing w:before="120" w:after="120"/>
              <w:jc w:val="both"/>
            </w:pPr>
            <w:r w:rsidRPr="006E061C">
              <w:rPr>
                <w:u w:val="single"/>
              </w:rPr>
              <w:t>Venue:</w:t>
            </w:r>
            <w:r>
              <w:t xml:space="preserve"> </w:t>
            </w:r>
            <w:hyperlink r:id="rId11" w:history="1">
              <w:r w:rsidR="003B5A5A" w:rsidRPr="00B64AC5">
                <w:rPr>
                  <w:rStyle w:val="Hyperlink"/>
                </w:rPr>
                <w:t>E</w:t>
              </w:r>
              <w:r w:rsidR="007E54F1" w:rsidRPr="00B64AC5">
                <w:rPr>
                  <w:rStyle w:val="Hyperlink"/>
                </w:rPr>
                <w:t xml:space="preserve">uropean </w:t>
              </w:r>
              <w:r w:rsidR="003B5A5A" w:rsidRPr="00B64AC5">
                <w:rPr>
                  <w:rStyle w:val="Hyperlink"/>
                </w:rPr>
                <w:t>P</w:t>
              </w:r>
              <w:r w:rsidR="007E54F1" w:rsidRPr="00B64AC5">
                <w:rPr>
                  <w:rStyle w:val="Hyperlink"/>
                </w:rPr>
                <w:t>arliament</w:t>
              </w:r>
            </w:hyperlink>
            <w:r w:rsidR="002D3CDD">
              <w:t xml:space="preserve"> (Room)</w:t>
            </w:r>
          </w:p>
        </w:tc>
      </w:tr>
      <w:tr w:rsidR="003B5A5A" w:rsidTr="00F3212D">
        <w:tc>
          <w:tcPr>
            <w:tcW w:w="1915" w:type="dxa"/>
            <w:shd w:val="clear" w:color="auto" w:fill="auto"/>
          </w:tcPr>
          <w:p w:rsidR="003B5A5A" w:rsidRDefault="00F31EAB" w:rsidP="00F836C2">
            <w:pPr>
              <w:spacing w:before="120" w:after="120"/>
              <w:jc w:val="both"/>
            </w:pPr>
            <w:r>
              <w:t>1</w:t>
            </w:r>
            <w:r w:rsidR="00A0206D">
              <w:t>4</w:t>
            </w:r>
            <w:r>
              <w:t>:</w:t>
            </w:r>
            <w:r w:rsidR="00F836C2">
              <w:t>0</w:t>
            </w:r>
            <w:r>
              <w:t>0</w:t>
            </w:r>
          </w:p>
        </w:tc>
        <w:tc>
          <w:tcPr>
            <w:tcW w:w="7661" w:type="dxa"/>
            <w:shd w:val="clear" w:color="auto" w:fill="auto"/>
          </w:tcPr>
          <w:p w:rsidR="003B5A5A" w:rsidRDefault="00F31EAB" w:rsidP="000F20F4">
            <w:pPr>
              <w:spacing w:before="120" w:after="120"/>
              <w:jc w:val="both"/>
            </w:pPr>
            <w:r>
              <w:t>Meeting the secretariat of the Committee on Environment, Public Health and Food Safety (ENVI)</w:t>
            </w:r>
            <w:r w:rsidR="002D3CDD">
              <w:t xml:space="preserve"> – </w:t>
            </w:r>
            <w:r w:rsidR="002D3CDD" w:rsidRPr="002D3CDD">
              <w:rPr>
                <w:b/>
              </w:rPr>
              <w:t>TBC</w:t>
            </w:r>
            <w:r w:rsidR="002D3CDD">
              <w:t xml:space="preserve"> </w:t>
            </w:r>
          </w:p>
          <w:p w:rsidR="003846A3" w:rsidRDefault="000F20F4" w:rsidP="000F20F4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→ The latest EU developments in the field of health, with a special focus on their link with the environment</w:t>
            </w:r>
            <w:r w:rsidR="003846A3">
              <w:rPr>
                <w:rFonts w:cstheme="minorHAnsi"/>
              </w:rPr>
              <w:t xml:space="preserve"> </w:t>
            </w:r>
          </w:p>
          <w:p w:rsidR="00A947CC" w:rsidRPr="003846A3" w:rsidRDefault="003846A3" w:rsidP="000F20F4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E.g.: Food labeling regulation implementation, a</w:t>
            </w:r>
            <w:r>
              <w:t>ir pollution</w:t>
            </w:r>
          </w:p>
          <w:p w:rsidR="000F22C6" w:rsidRDefault="000F22C6" w:rsidP="000F20F4">
            <w:pPr>
              <w:spacing w:before="120" w:after="120"/>
              <w:jc w:val="both"/>
            </w:pPr>
            <w:r>
              <w:t>Questions and answers</w:t>
            </w:r>
          </w:p>
        </w:tc>
      </w:tr>
      <w:tr w:rsidR="00F31EAB" w:rsidTr="00F3212D">
        <w:tc>
          <w:tcPr>
            <w:tcW w:w="1915" w:type="dxa"/>
            <w:shd w:val="clear" w:color="auto" w:fill="auto"/>
          </w:tcPr>
          <w:p w:rsidR="00F31EAB" w:rsidRDefault="00F31EAB" w:rsidP="000F20F4">
            <w:pPr>
              <w:spacing w:before="120" w:after="120"/>
              <w:jc w:val="both"/>
            </w:pPr>
            <w:r>
              <w:t>1</w:t>
            </w:r>
            <w:r w:rsidR="00A0206D">
              <w:t>5:0</w:t>
            </w:r>
            <w:r>
              <w:t>0</w:t>
            </w:r>
          </w:p>
        </w:tc>
        <w:tc>
          <w:tcPr>
            <w:tcW w:w="7661" w:type="dxa"/>
            <w:shd w:val="clear" w:color="auto" w:fill="auto"/>
          </w:tcPr>
          <w:p w:rsidR="00F31EAB" w:rsidRDefault="00F31EAB" w:rsidP="000F20F4">
            <w:pPr>
              <w:spacing w:before="120" w:after="120"/>
              <w:jc w:val="both"/>
            </w:pPr>
            <w:r>
              <w:t>Meeting the secretariat of the Committee on Industry, Research and Energy (ITRE)</w:t>
            </w:r>
            <w:r w:rsidR="00C36CFF">
              <w:t xml:space="preserve"> – </w:t>
            </w:r>
            <w:proofErr w:type="spellStart"/>
            <w:r w:rsidR="00C36CFF" w:rsidRPr="00A9615A">
              <w:rPr>
                <w:b/>
              </w:rPr>
              <w:t>Gai</w:t>
            </w:r>
            <w:proofErr w:type="spellEnd"/>
            <w:r w:rsidR="00C36CFF" w:rsidRPr="00A9615A">
              <w:rPr>
                <w:b/>
              </w:rPr>
              <w:t xml:space="preserve"> Oren, Administrator responsible for Research</w:t>
            </w:r>
          </w:p>
          <w:p w:rsidR="000F20F4" w:rsidRDefault="000F20F4" w:rsidP="000F20F4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→ The latest EU developments in the field of research, with a focus on the forthcoming Eighth Framework </w:t>
            </w:r>
            <w:proofErr w:type="spellStart"/>
            <w:r>
              <w:rPr>
                <w:rFonts w:cstheme="minorHAnsi"/>
              </w:rPr>
              <w:t>Programme</w:t>
            </w:r>
            <w:proofErr w:type="spellEnd"/>
            <w:r>
              <w:rPr>
                <w:rFonts w:cstheme="minorHAnsi"/>
              </w:rPr>
              <w:t xml:space="preserve"> for research and technological development (FP8)</w:t>
            </w:r>
          </w:p>
          <w:p w:rsidR="000F22C6" w:rsidRDefault="000F22C6" w:rsidP="000F20F4">
            <w:pPr>
              <w:spacing w:before="120" w:after="120"/>
              <w:jc w:val="both"/>
            </w:pPr>
            <w:r>
              <w:t>Questions and answers</w:t>
            </w:r>
          </w:p>
        </w:tc>
      </w:tr>
      <w:tr w:rsidR="003B5A5A" w:rsidTr="00F3212D">
        <w:tc>
          <w:tcPr>
            <w:tcW w:w="1915" w:type="dxa"/>
            <w:shd w:val="clear" w:color="auto" w:fill="auto"/>
          </w:tcPr>
          <w:p w:rsidR="003B5A5A" w:rsidRDefault="00F836C2" w:rsidP="00F836C2">
            <w:pPr>
              <w:spacing w:before="120" w:after="120"/>
              <w:jc w:val="both"/>
            </w:pPr>
            <w:r>
              <w:lastRenderedPageBreak/>
              <w:t>16</w:t>
            </w:r>
            <w:r w:rsidR="000F20F4">
              <w:t>:</w:t>
            </w:r>
            <w:r>
              <w:t>0</w:t>
            </w:r>
            <w:r w:rsidR="000F20F4">
              <w:t>0</w:t>
            </w:r>
          </w:p>
        </w:tc>
        <w:tc>
          <w:tcPr>
            <w:tcW w:w="7661" w:type="dxa"/>
            <w:shd w:val="clear" w:color="auto" w:fill="auto"/>
          </w:tcPr>
          <w:p w:rsidR="003B5A5A" w:rsidRDefault="00F836C2" w:rsidP="00F836C2">
            <w:pPr>
              <w:spacing w:before="120" w:after="120"/>
              <w:jc w:val="both"/>
            </w:pPr>
            <w:r>
              <w:t>Networking c</w:t>
            </w:r>
            <w:r w:rsidR="000F20F4">
              <w:t>offee break</w:t>
            </w:r>
          </w:p>
        </w:tc>
      </w:tr>
      <w:tr w:rsidR="000F20F4" w:rsidTr="00F3212D">
        <w:tc>
          <w:tcPr>
            <w:tcW w:w="1915" w:type="dxa"/>
            <w:shd w:val="clear" w:color="auto" w:fill="auto"/>
          </w:tcPr>
          <w:p w:rsidR="000F20F4" w:rsidRDefault="000F20F4" w:rsidP="00A0206D">
            <w:pPr>
              <w:spacing w:before="120" w:after="120"/>
              <w:jc w:val="both"/>
            </w:pPr>
            <w:r>
              <w:t>1</w:t>
            </w:r>
            <w:r w:rsidR="00F836C2">
              <w:t>6</w:t>
            </w:r>
            <w:r>
              <w:t>:</w:t>
            </w:r>
            <w:r w:rsidR="00A0206D">
              <w:t>3</w:t>
            </w:r>
            <w:r>
              <w:t>0</w:t>
            </w:r>
          </w:p>
        </w:tc>
        <w:tc>
          <w:tcPr>
            <w:tcW w:w="7661" w:type="dxa"/>
            <w:shd w:val="clear" w:color="auto" w:fill="auto"/>
          </w:tcPr>
          <w:p w:rsidR="002D3CDD" w:rsidRDefault="000F22C6" w:rsidP="002D3CDD">
            <w:pPr>
              <w:spacing w:before="120" w:after="120"/>
              <w:jc w:val="both"/>
            </w:pPr>
            <w:r>
              <w:t>M</w:t>
            </w:r>
            <w:r w:rsidR="00A0206D">
              <w:t>eeting</w:t>
            </w:r>
            <w:r w:rsidR="002D3CDD">
              <w:t>s</w:t>
            </w:r>
            <w:r w:rsidR="00A0206D">
              <w:t xml:space="preserve"> with MEPs from the countries of the members present </w:t>
            </w:r>
          </w:p>
          <w:p w:rsidR="000F20F4" w:rsidRDefault="000F20F4" w:rsidP="002D3CDD">
            <w:pPr>
              <w:spacing w:before="120" w:after="120"/>
              <w:jc w:val="both"/>
            </w:pPr>
            <w:r>
              <w:t>Questions and answers</w:t>
            </w:r>
          </w:p>
        </w:tc>
      </w:tr>
      <w:tr w:rsidR="000F20F4" w:rsidTr="009049EE">
        <w:tc>
          <w:tcPr>
            <w:tcW w:w="191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0F20F4" w:rsidRDefault="000F20F4" w:rsidP="000F20F4">
            <w:pPr>
              <w:spacing w:before="120" w:after="120"/>
              <w:jc w:val="both"/>
            </w:pPr>
            <w:r>
              <w:t>19:00</w:t>
            </w:r>
          </w:p>
        </w:tc>
        <w:tc>
          <w:tcPr>
            <w:tcW w:w="7661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0F20F4" w:rsidRDefault="000F20F4" w:rsidP="000F20F4">
            <w:pPr>
              <w:spacing w:before="120" w:after="120"/>
              <w:jc w:val="both"/>
            </w:pPr>
            <w:r>
              <w:t>Dinner</w:t>
            </w:r>
          </w:p>
        </w:tc>
      </w:tr>
      <w:tr w:rsidR="000F20F4" w:rsidTr="009049EE">
        <w:tc>
          <w:tcPr>
            <w:tcW w:w="9576" w:type="dxa"/>
            <w:gridSpan w:val="2"/>
            <w:shd w:val="clear" w:color="auto" w:fill="DAEEF3" w:themeFill="accent5" w:themeFillTint="33"/>
          </w:tcPr>
          <w:p w:rsidR="000F20F4" w:rsidRPr="00FA525E" w:rsidRDefault="000F20F4" w:rsidP="000F20F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FA525E">
              <w:rPr>
                <w:b/>
                <w:sz w:val="24"/>
                <w:szCs w:val="24"/>
              </w:rPr>
              <w:t>Day 2</w:t>
            </w:r>
            <w:r w:rsidR="003846A3">
              <w:rPr>
                <w:b/>
                <w:sz w:val="24"/>
                <w:szCs w:val="24"/>
              </w:rPr>
              <w:t xml:space="preserve"> – 21</w:t>
            </w:r>
            <w:r w:rsidR="003846A3" w:rsidRPr="003846A3">
              <w:rPr>
                <w:b/>
                <w:sz w:val="24"/>
                <w:szCs w:val="24"/>
                <w:vertAlign w:val="superscript"/>
              </w:rPr>
              <w:t>st</w:t>
            </w:r>
            <w:r w:rsidR="003846A3">
              <w:rPr>
                <w:b/>
                <w:sz w:val="24"/>
                <w:szCs w:val="24"/>
              </w:rPr>
              <w:t xml:space="preserve"> of March (Wednesday)</w:t>
            </w:r>
          </w:p>
        </w:tc>
      </w:tr>
      <w:tr w:rsidR="000F20F4" w:rsidRPr="00B2238D" w:rsidTr="009049EE">
        <w:tc>
          <w:tcPr>
            <w:tcW w:w="9576" w:type="dxa"/>
            <w:gridSpan w:val="2"/>
            <w:shd w:val="clear" w:color="auto" w:fill="DAEEF3" w:themeFill="accent5" w:themeFillTint="33"/>
          </w:tcPr>
          <w:p w:rsidR="00226DDF" w:rsidRPr="002D3CDD" w:rsidRDefault="00F742D2" w:rsidP="002D3CDD">
            <w:pPr>
              <w:spacing w:before="120" w:after="120"/>
              <w:ind w:left="709" w:hanging="709"/>
              <w:jc w:val="both"/>
              <w:rPr>
                <w:lang w:val="fr-BE"/>
              </w:rPr>
            </w:pPr>
            <w:r>
              <w:rPr>
                <w:u w:val="single"/>
                <w:lang w:val="fr-BE"/>
              </w:rPr>
              <w:t>V</w:t>
            </w:r>
            <w:r w:rsidR="000F20F4" w:rsidRPr="007C7EA5">
              <w:rPr>
                <w:u w:val="single"/>
                <w:lang w:val="fr-BE"/>
              </w:rPr>
              <w:t>enue:</w:t>
            </w:r>
            <w:r w:rsidR="000F20F4" w:rsidRPr="007C7EA5">
              <w:rPr>
                <w:lang w:val="fr-BE"/>
              </w:rPr>
              <w:t xml:space="preserve"> </w:t>
            </w:r>
            <w:r w:rsidR="00B64AC5">
              <w:rPr>
                <w:lang w:val="fr-BE"/>
              </w:rPr>
              <w:t>EFA</w:t>
            </w:r>
            <w:r w:rsidR="00A0206D" w:rsidRPr="007C7EA5">
              <w:rPr>
                <w:lang w:val="fr-BE"/>
              </w:rPr>
              <w:t xml:space="preserve"> office (</w:t>
            </w:r>
            <w:hyperlink r:id="rId12" w:history="1">
              <w:r w:rsidR="00A0206D" w:rsidRPr="007C7EA5">
                <w:rPr>
                  <w:rStyle w:val="Hyperlink"/>
                  <w:lang w:val="fr-BE"/>
                </w:rPr>
                <w:t>35, Rue du Congres – B-1000, Brussels</w:t>
              </w:r>
            </w:hyperlink>
            <w:r w:rsidR="00A0206D" w:rsidRPr="007C7EA5">
              <w:rPr>
                <w:lang w:val="fr-BE"/>
              </w:rPr>
              <w:t xml:space="preserve">) </w:t>
            </w:r>
          </w:p>
        </w:tc>
      </w:tr>
      <w:tr w:rsidR="000F20F4" w:rsidTr="00F3212D">
        <w:tc>
          <w:tcPr>
            <w:tcW w:w="191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0F20F4" w:rsidRDefault="00F742D2" w:rsidP="002D3CDD">
            <w:pPr>
              <w:spacing w:before="120" w:after="120"/>
              <w:jc w:val="both"/>
            </w:pPr>
            <w:r>
              <w:t>09</w:t>
            </w:r>
            <w:r w:rsidR="00CE1AC8">
              <w:t>:</w:t>
            </w:r>
            <w:r>
              <w:t>3</w:t>
            </w:r>
            <w:r w:rsidR="00CE1AC8">
              <w:t>0</w:t>
            </w:r>
          </w:p>
        </w:tc>
        <w:tc>
          <w:tcPr>
            <w:tcW w:w="7661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F742D2" w:rsidRPr="00F3212D" w:rsidRDefault="00F742D2" w:rsidP="00F742D2">
            <w:pPr>
              <w:spacing w:before="120" w:after="120"/>
              <w:jc w:val="both"/>
            </w:pPr>
            <w:r>
              <w:t xml:space="preserve">Case-study: </w:t>
            </w:r>
            <w:r>
              <w:rPr>
                <w:rFonts w:cstheme="minorHAnsi"/>
              </w:rPr>
              <w:t xml:space="preserve">Tobacco products directive (to be reviewed in 2012) </w:t>
            </w:r>
          </w:p>
          <w:p w:rsidR="00F742D2" w:rsidRPr="00A9615A" w:rsidRDefault="00F742D2" w:rsidP="00F742D2">
            <w:pPr>
              <w:spacing w:before="120" w:after="120"/>
              <w:jc w:val="both"/>
              <w:rPr>
                <w:b/>
              </w:rPr>
            </w:pPr>
            <w:r>
              <w:rPr>
                <w:rFonts w:cstheme="minorHAnsi"/>
              </w:rPr>
              <w:t>→ 0</w:t>
            </w:r>
            <w:r w:rsidR="00736726">
              <w:rPr>
                <w:rFonts w:cstheme="minorHAnsi"/>
              </w:rPr>
              <w:t>9</w:t>
            </w:r>
            <w:r>
              <w:rPr>
                <w:rFonts w:cstheme="minorHAnsi"/>
              </w:rPr>
              <w:t>:</w:t>
            </w:r>
            <w:r w:rsidR="00736726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</w:t>
            </w:r>
            <w:r>
              <w:t xml:space="preserve">General overview given by DG SANCO officials on this dossier (Unit D4 Substances of human origin and Tobacco control) – </w:t>
            </w:r>
            <w:r w:rsidRPr="00A9615A">
              <w:rPr>
                <w:b/>
              </w:rPr>
              <w:t xml:space="preserve">Anna-Eva </w:t>
            </w:r>
            <w:proofErr w:type="spellStart"/>
            <w:r w:rsidRPr="00A9615A">
              <w:rPr>
                <w:b/>
              </w:rPr>
              <w:t>Ampelas</w:t>
            </w:r>
            <w:proofErr w:type="spellEnd"/>
            <w:r w:rsidRPr="00A9615A">
              <w:rPr>
                <w:b/>
              </w:rPr>
              <w:t>, Legal Officer</w:t>
            </w:r>
          </w:p>
          <w:p w:rsidR="00CE1AC8" w:rsidRDefault="00F742D2" w:rsidP="00736726">
            <w:pPr>
              <w:spacing w:before="120" w:after="120"/>
              <w:jc w:val="both"/>
            </w:pPr>
            <w:r>
              <w:rPr>
                <w:rFonts w:cstheme="minorHAnsi"/>
              </w:rPr>
              <w:t xml:space="preserve">→ </w:t>
            </w:r>
            <w:r w:rsidR="00736726">
              <w:rPr>
                <w:rFonts w:cstheme="minorHAnsi"/>
              </w:rPr>
              <w:t>10</w:t>
            </w:r>
            <w:r>
              <w:rPr>
                <w:rFonts w:cstheme="minorHAnsi"/>
              </w:rPr>
              <w:t>:</w:t>
            </w:r>
            <w:r w:rsidR="00736726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Workshop moderated by </w:t>
            </w:r>
            <w:r w:rsidRPr="00A9615A">
              <w:rPr>
                <w:rFonts w:cstheme="minorHAnsi"/>
              </w:rPr>
              <w:t>Smoke-free partnership</w:t>
            </w:r>
            <w:r>
              <w:rPr>
                <w:rFonts w:cstheme="minorHAnsi"/>
              </w:rPr>
              <w:t xml:space="preserve"> – </w:t>
            </w:r>
            <w:r w:rsidRPr="002D3CDD">
              <w:rPr>
                <w:rFonts w:cstheme="minorHAnsi"/>
                <w:b/>
              </w:rPr>
              <w:t>TBC</w:t>
            </w:r>
            <w:r>
              <w:rPr>
                <w:rFonts w:cstheme="minorHAnsi"/>
              </w:rPr>
              <w:t xml:space="preserve"> </w:t>
            </w:r>
          </w:p>
        </w:tc>
      </w:tr>
      <w:tr w:rsidR="00F3212D" w:rsidTr="00F3212D">
        <w:tc>
          <w:tcPr>
            <w:tcW w:w="1915" w:type="dxa"/>
            <w:shd w:val="clear" w:color="auto" w:fill="auto"/>
          </w:tcPr>
          <w:p w:rsidR="00F3212D" w:rsidRDefault="00736726" w:rsidP="00736726">
            <w:pPr>
              <w:spacing w:before="120" w:after="120"/>
              <w:jc w:val="both"/>
            </w:pPr>
            <w:r>
              <w:t>10:45</w:t>
            </w:r>
          </w:p>
        </w:tc>
        <w:tc>
          <w:tcPr>
            <w:tcW w:w="7661" w:type="dxa"/>
            <w:shd w:val="clear" w:color="auto" w:fill="auto"/>
          </w:tcPr>
          <w:p w:rsidR="00F3212D" w:rsidRDefault="00F3212D" w:rsidP="00CC2C39">
            <w:pPr>
              <w:spacing w:before="120" w:after="120"/>
              <w:jc w:val="both"/>
            </w:pPr>
            <w:r>
              <w:t>Networking coffee break</w:t>
            </w:r>
          </w:p>
        </w:tc>
      </w:tr>
      <w:tr w:rsidR="000F20F4" w:rsidTr="00F3212D">
        <w:tc>
          <w:tcPr>
            <w:tcW w:w="1915" w:type="dxa"/>
            <w:shd w:val="clear" w:color="auto" w:fill="auto"/>
          </w:tcPr>
          <w:p w:rsidR="000F20F4" w:rsidRDefault="00F3212D" w:rsidP="00736726">
            <w:pPr>
              <w:spacing w:before="120" w:after="120"/>
              <w:jc w:val="both"/>
            </w:pPr>
            <w:r>
              <w:t>1</w:t>
            </w:r>
            <w:r w:rsidR="00736726">
              <w:t>1</w:t>
            </w:r>
            <w:r>
              <w:t>:</w:t>
            </w:r>
            <w:r w:rsidR="00736726">
              <w:t>00</w:t>
            </w:r>
          </w:p>
        </w:tc>
        <w:tc>
          <w:tcPr>
            <w:tcW w:w="7661" w:type="dxa"/>
            <w:shd w:val="clear" w:color="auto" w:fill="auto"/>
          </w:tcPr>
          <w:p w:rsidR="00F742D2" w:rsidRPr="002D3CDD" w:rsidRDefault="00F742D2" w:rsidP="00F742D2">
            <w:pPr>
              <w:spacing w:before="120" w:after="120"/>
              <w:jc w:val="both"/>
            </w:pPr>
            <w:r>
              <w:t xml:space="preserve">Meeting DG SANCO officials, </w:t>
            </w:r>
            <w:r>
              <w:rPr>
                <w:rFonts w:cstheme="minorHAnsi"/>
              </w:rPr>
              <w:t xml:space="preserve">Unit C4 Health determinants – </w:t>
            </w:r>
            <w:proofErr w:type="spellStart"/>
            <w:r w:rsidRPr="00A9615A">
              <w:rPr>
                <w:rFonts w:cstheme="minorHAnsi"/>
                <w:b/>
              </w:rPr>
              <w:t>Natacha</w:t>
            </w:r>
            <w:proofErr w:type="spellEnd"/>
            <w:r w:rsidRPr="00A9615A">
              <w:rPr>
                <w:rFonts w:cstheme="minorHAnsi"/>
                <w:b/>
              </w:rPr>
              <w:t xml:space="preserve"> </w:t>
            </w:r>
            <w:proofErr w:type="spellStart"/>
            <w:r w:rsidRPr="00A9615A">
              <w:rPr>
                <w:rFonts w:cstheme="minorHAnsi"/>
                <w:b/>
              </w:rPr>
              <w:t>Grenier</w:t>
            </w:r>
            <w:proofErr w:type="spellEnd"/>
            <w:r w:rsidRPr="00A9615A">
              <w:rPr>
                <w:rFonts w:cstheme="minorHAnsi"/>
                <w:b/>
              </w:rPr>
              <w:t>, Policy Officer</w:t>
            </w:r>
          </w:p>
          <w:p w:rsidR="00F742D2" w:rsidRDefault="00F742D2" w:rsidP="00F742D2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→ The activities of DG SANCO related to chronic respiratory diseases </w:t>
            </w:r>
          </w:p>
          <w:p w:rsidR="00F3212D" w:rsidRPr="00A0206D" w:rsidRDefault="00F742D2" w:rsidP="00F742D2">
            <w:pPr>
              <w:spacing w:before="120" w:after="120"/>
              <w:jc w:val="both"/>
              <w:rPr>
                <w:rFonts w:cstheme="minorHAnsi"/>
              </w:rPr>
            </w:pPr>
            <w:r>
              <w:t>Questions and answers</w:t>
            </w:r>
          </w:p>
        </w:tc>
      </w:tr>
      <w:tr w:rsidR="00CE1AC8" w:rsidTr="00F3212D">
        <w:tc>
          <w:tcPr>
            <w:tcW w:w="1915" w:type="dxa"/>
            <w:shd w:val="clear" w:color="auto" w:fill="auto"/>
          </w:tcPr>
          <w:p w:rsidR="00CE1AC8" w:rsidRDefault="00736726" w:rsidP="00CE1AC8">
            <w:pPr>
              <w:spacing w:before="120" w:after="120"/>
              <w:jc w:val="both"/>
            </w:pPr>
            <w:r>
              <w:t>12:0</w:t>
            </w:r>
            <w:r w:rsidR="00CE1AC8">
              <w:t>0</w:t>
            </w:r>
          </w:p>
        </w:tc>
        <w:tc>
          <w:tcPr>
            <w:tcW w:w="7661" w:type="dxa"/>
            <w:shd w:val="clear" w:color="auto" w:fill="auto"/>
          </w:tcPr>
          <w:p w:rsidR="00CE1AC8" w:rsidRDefault="00CE1AC8" w:rsidP="000F20F4">
            <w:pPr>
              <w:spacing w:before="120" w:after="120"/>
              <w:jc w:val="both"/>
            </w:pPr>
            <w:r>
              <w:t>Lunch</w:t>
            </w:r>
          </w:p>
        </w:tc>
      </w:tr>
    </w:tbl>
    <w:p w:rsidR="002A0593" w:rsidRDefault="002A0593" w:rsidP="000F20F4">
      <w:pPr>
        <w:spacing w:before="120" w:after="120" w:line="240" w:lineRule="auto"/>
        <w:jc w:val="both"/>
      </w:pPr>
    </w:p>
    <w:sectPr w:rsidR="002A0593" w:rsidSect="002A0593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CA8" w:rsidRDefault="00750CA8" w:rsidP="003B5A5A">
      <w:pPr>
        <w:spacing w:after="0" w:line="240" w:lineRule="auto"/>
      </w:pPr>
      <w:r>
        <w:separator/>
      </w:r>
    </w:p>
  </w:endnote>
  <w:endnote w:type="continuationSeparator" w:id="0">
    <w:p w:rsidR="00750CA8" w:rsidRDefault="00750CA8" w:rsidP="003B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9982"/>
      <w:docPartObj>
        <w:docPartGallery w:val="Page Numbers (Bottom of Page)"/>
        <w:docPartUnique/>
      </w:docPartObj>
    </w:sdtPr>
    <w:sdtContent>
      <w:p w:rsidR="00C52DF7" w:rsidRDefault="00B55005">
        <w:pPr>
          <w:pStyle w:val="Footer"/>
          <w:jc w:val="center"/>
        </w:pPr>
        <w:fldSimple w:instr=" PAGE   \* MERGEFORMAT ">
          <w:r w:rsidR="00B2238D">
            <w:rPr>
              <w:noProof/>
            </w:rPr>
            <w:t>2</w:t>
          </w:r>
        </w:fldSimple>
      </w:p>
    </w:sdtContent>
  </w:sdt>
  <w:p w:rsidR="00C52DF7" w:rsidRDefault="00C52D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CA8" w:rsidRDefault="00750CA8" w:rsidP="003B5A5A">
      <w:pPr>
        <w:spacing w:after="0" w:line="240" w:lineRule="auto"/>
      </w:pPr>
      <w:r>
        <w:separator/>
      </w:r>
    </w:p>
  </w:footnote>
  <w:footnote w:type="continuationSeparator" w:id="0">
    <w:p w:rsidR="00750CA8" w:rsidRDefault="00750CA8" w:rsidP="003B5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2AD"/>
    <w:rsid w:val="00002463"/>
    <w:rsid w:val="000D2B47"/>
    <w:rsid w:val="000E13C5"/>
    <w:rsid w:val="000F20F4"/>
    <w:rsid w:val="000F22C6"/>
    <w:rsid w:val="00125A9C"/>
    <w:rsid w:val="00170758"/>
    <w:rsid w:val="001E02BE"/>
    <w:rsid w:val="001E05BC"/>
    <w:rsid w:val="00226DDF"/>
    <w:rsid w:val="002A0593"/>
    <w:rsid w:val="002D3CDD"/>
    <w:rsid w:val="003846A3"/>
    <w:rsid w:val="003950E6"/>
    <w:rsid w:val="003B5A5A"/>
    <w:rsid w:val="003D12AD"/>
    <w:rsid w:val="00490877"/>
    <w:rsid w:val="004C3FDA"/>
    <w:rsid w:val="004E243C"/>
    <w:rsid w:val="005019D3"/>
    <w:rsid w:val="005419CA"/>
    <w:rsid w:val="00551EF1"/>
    <w:rsid w:val="005E6C14"/>
    <w:rsid w:val="005F398C"/>
    <w:rsid w:val="0060195D"/>
    <w:rsid w:val="00626CDD"/>
    <w:rsid w:val="00631D8B"/>
    <w:rsid w:val="006C1DD4"/>
    <w:rsid w:val="006E061C"/>
    <w:rsid w:val="00707E86"/>
    <w:rsid w:val="00717AC0"/>
    <w:rsid w:val="00736726"/>
    <w:rsid w:val="00750CA8"/>
    <w:rsid w:val="007617F1"/>
    <w:rsid w:val="007C7EA5"/>
    <w:rsid w:val="007D3AC0"/>
    <w:rsid w:val="007D47FD"/>
    <w:rsid w:val="007D7961"/>
    <w:rsid w:val="007E54F1"/>
    <w:rsid w:val="00850C99"/>
    <w:rsid w:val="00854498"/>
    <w:rsid w:val="008D13EA"/>
    <w:rsid w:val="008F301E"/>
    <w:rsid w:val="009049EE"/>
    <w:rsid w:val="009127D4"/>
    <w:rsid w:val="0095225B"/>
    <w:rsid w:val="00962CC5"/>
    <w:rsid w:val="00990B27"/>
    <w:rsid w:val="00A0206D"/>
    <w:rsid w:val="00A15DEC"/>
    <w:rsid w:val="00A36FF0"/>
    <w:rsid w:val="00A51103"/>
    <w:rsid w:val="00A523C5"/>
    <w:rsid w:val="00A947CC"/>
    <w:rsid w:val="00A9615A"/>
    <w:rsid w:val="00AC3C91"/>
    <w:rsid w:val="00AC4AFC"/>
    <w:rsid w:val="00B2238D"/>
    <w:rsid w:val="00B4483E"/>
    <w:rsid w:val="00B51E73"/>
    <w:rsid w:val="00B55005"/>
    <w:rsid w:val="00B62118"/>
    <w:rsid w:val="00B64AC5"/>
    <w:rsid w:val="00B66327"/>
    <w:rsid w:val="00BA3337"/>
    <w:rsid w:val="00C06F55"/>
    <w:rsid w:val="00C17D38"/>
    <w:rsid w:val="00C31654"/>
    <w:rsid w:val="00C36CFF"/>
    <w:rsid w:val="00C506C4"/>
    <w:rsid w:val="00C52DF7"/>
    <w:rsid w:val="00CC2C39"/>
    <w:rsid w:val="00CD22EE"/>
    <w:rsid w:val="00CE1AC8"/>
    <w:rsid w:val="00CF3730"/>
    <w:rsid w:val="00D460F2"/>
    <w:rsid w:val="00D82881"/>
    <w:rsid w:val="00DC4CEC"/>
    <w:rsid w:val="00DD3868"/>
    <w:rsid w:val="00E22271"/>
    <w:rsid w:val="00F05859"/>
    <w:rsid w:val="00F14927"/>
    <w:rsid w:val="00F31EAB"/>
    <w:rsid w:val="00F3212D"/>
    <w:rsid w:val="00F742D2"/>
    <w:rsid w:val="00F836C2"/>
    <w:rsid w:val="00FA525E"/>
    <w:rsid w:val="00FE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B5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A5A"/>
  </w:style>
  <w:style w:type="paragraph" w:styleId="Footer">
    <w:name w:val="footer"/>
    <w:basedOn w:val="Normal"/>
    <w:link w:val="FooterChar"/>
    <w:uiPriority w:val="99"/>
    <w:unhideWhenUsed/>
    <w:rsid w:val="003B5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5A"/>
  </w:style>
  <w:style w:type="character" w:customStyle="1" w:styleId="jqtooltip">
    <w:name w:val="jq_tooltip"/>
    <w:basedOn w:val="DefaultParagraphFont"/>
    <w:rsid w:val="00707E86"/>
  </w:style>
  <w:style w:type="character" w:styleId="Hyperlink">
    <w:name w:val="Hyperlink"/>
    <w:basedOn w:val="DefaultParagraphFont"/>
    <w:uiPriority w:val="99"/>
    <w:unhideWhenUsed/>
    <w:rsid w:val="00707E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1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E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6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be/maps?hl=en&amp;cp=41&amp;gs_id=6&amp;xhr=t&amp;q=42,+Rue+Du+Congres,+Brussel,+1000+Brussel&amp;gs_upl=&amp;bav=on.2,or.r_gc.r_pw.,cf.osb&amp;biw=1280&amp;bih=617&amp;um=1&amp;ie=UTF-8&amp;ei=QHLfTrfZFIafOrzQ2e4C&amp;sa=X&amp;oi=mode_link&amp;ct=mode&amp;cd=3&amp;sqi=2&amp;ved=0CCMQ_AUoA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aps.google.be/maps?hl=en&amp;cp=41&amp;gs_id=6&amp;xhr=t&amp;q=42,+Rue+Du+Congres,+Brussel,+1000+Brussel&amp;gs_upl=&amp;bav=on.2,or.r_gc.r_pw.,cf.osb&amp;biw=1280&amp;bih=617&amp;um=1&amp;ie=UTF-8&amp;ei=QHLfTrfZFIafOrzQ2e4C&amp;sa=X&amp;oi=mode_link&amp;ct=mode&amp;cd=3&amp;sqi=2&amp;ved=0CCMQ_AUo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aps.google.be/maps?q=european+parliament+bruxelles&amp;oe=utf-8&amp;rls=org.mozilla:en-GB:official&amp;client=firefox-a&amp;safe=active&amp;um=1&amp;ie=UTF-8&amp;ei=0HffTr5niKz6BvDM5M4B&amp;sa=X&amp;oi=mode_link&amp;ct=mode&amp;cd=3&amp;ved=0CBkQ_AUoA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aps.google.be/maps?hl=en&amp;cp=41&amp;gs_id=6&amp;xhr=t&amp;q=42,+Rue+Du+Congres,+Brussel,+1000+Brussel&amp;gs_upl=&amp;bav=on.2,or.r_gc.r_pw.,cf.osb&amp;biw=1280&amp;bih=617&amp;um=1&amp;ie=UTF-8&amp;ei=QHLfTrfZFIafOrzQ2e4C&amp;sa=X&amp;oi=mode_link&amp;ct=mode&amp;cd=3&amp;sqi=2&amp;ved=0CCMQ_AUo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.eu/take-part/visit/european-parliament-visitors-centre/index_en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1CCA-8F3C-4060-8F3B-81BF6A61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Savli</dc:creator>
  <cp:lastModifiedBy>David Brennan</cp:lastModifiedBy>
  <cp:revision>2</cp:revision>
  <dcterms:created xsi:type="dcterms:W3CDTF">2012-02-01T14:16:00Z</dcterms:created>
  <dcterms:modified xsi:type="dcterms:W3CDTF">2012-02-01T14:16:00Z</dcterms:modified>
</cp:coreProperties>
</file>